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6FA44">
      <w:pPr>
        <w:pStyle w:val="6"/>
        <w:rPr>
          <w:rFonts w:hint="eastAsia" w:ascii="Times New Roman" w:hAnsi="Times New Roman" w:eastAsia="方正小标宋简体" w:cs="Times New Roman"/>
          <w:color w:val="auto"/>
          <w:kern w:val="2"/>
          <w:sz w:val="72"/>
          <w:szCs w:val="72"/>
          <w:highlight w:val="none"/>
          <w:lang w:val="en-US" w:eastAsia="zh-CN" w:bidi="ar-SA"/>
        </w:rPr>
      </w:pPr>
      <w:bookmarkStart w:id="0" w:name="_Toc15396597"/>
      <w:bookmarkStart w:id="1" w:name="_Toc15378441"/>
      <w:bookmarkStart w:id="2" w:name="_Toc15396475"/>
      <w:bookmarkStart w:id="3" w:name="_Toc15377425"/>
      <w:bookmarkStart w:id="4" w:name="_Toc15377193"/>
      <w:bookmarkStart w:id="5" w:name="_Toc15306267"/>
    </w:p>
    <w:p w14:paraId="134D1D0D">
      <w:pPr>
        <w:pStyle w:val="6"/>
        <w:rPr>
          <w:rFonts w:hint="eastAsia" w:ascii="Times New Roman" w:hAnsi="Times New Roman" w:eastAsia="方正小标宋简体" w:cs="Times New Roman"/>
          <w:color w:val="auto"/>
          <w:kern w:val="2"/>
          <w:sz w:val="72"/>
          <w:szCs w:val="72"/>
          <w:highlight w:val="none"/>
          <w:lang w:val="en-US" w:eastAsia="zh-CN" w:bidi="ar-SA"/>
        </w:rPr>
      </w:pPr>
    </w:p>
    <w:p w14:paraId="2A8D43F1">
      <w:pPr>
        <w:pStyle w:val="6"/>
        <w:rPr>
          <w:rFonts w:hint="eastAsia" w:ascii="Times New Roman" w:hAnsi="Times New Roman" w:eastAsia="方正小标宋简体" w:cs="Times New Roman"/>
          <w:color w:val="auto"/>
          <w:kern w:val="2"/>
          <w:sz w:val="72"/>
          <w:szCs w:val="72"/>
          <w:highlight w:val="none"/>
          <w:lang w:val="en-US" w:eastAsia="zh-CN" w:bidi="ar-SA"/>
        </w:rPr>
      </w:pPr>
    </w:p>
    <w:p w14:paraId="712A911D">
      <w:pPr>
        <w:pStyle w:val="6"/>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w:t>
      </w:r>
      <w:r>
        <w:rPr>
          <w:rFonts w:hint="eastAsia" w:ascii="Times New Roman" w:eastAsia="方正小标宋简体" w:cs="Times New Roman"/>
          <w:color w:val="auto"/>
          <w:kern w:val="2"/>
          <w:sz w:val="44"/>
          <w:szCs w:val="44"/>
          <w:highlight w:val="none"/>
          <w:lang w:val="en-US" w:eastAsia="zh-CN" w:bidi="ar-SA"/>
        </w:rPr>
        <w:t>遂宁市职业技术学校</w:t>
      </w:r>
      <w:r>
        <w:rPr>
          <w:rFonts w:hint="eastAsia" w:ascii="Times New Roman" w:hAnsi="Times New Roman" w:eastAsia="方正小标宋简体" w:cs="Times New Roman"/>
          <w:color w:val="auto"/>
          <w:kern w:val="2"/>
          <w:sz w:val="44"/>
          <w:szCs w:val="44"/>
          <w:highlight w:val="none"/>
          <w:lang w:val="en-US" w:eastAsia="zh-CN" w:bidi="ar-SA"/>
        </w:rPr>
        <w:t>决算</w:t>
      </w:r>
    </w:p>
    <w:p w14:paraId="56BAC341">
      <w:pPr>
        <w:pStyle w:val="6"/>
        <w:jc w:val="center"/>
        <w:rPr>
          <w:rFonts w:hint="default"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公开说明</w:t>
      </w:r>
    </w:p>
    <w:p w14:paraId="3825AF50">
      <w:pPr>
        <w:spacing w:line="600" w:lineRule="exact"/>
        <w:jc w:val="center"/>
        <w:outlineLvl w:val="9"/>
        <w:rPr>
          <w:rFonts w:ascii="Times New Roman" w:hAnsi="Times New Roman" w:eastAsia="方正小标宋简体"/>
          <w:color w:val="auto"/>
          <w:sz w:val="72"/>
          <w:szCs w:val="72"/>
          <w:highlight w:val="none"/>
        </w:rPr>
      </w:pPr>
    </w:p>
    <w:p w14:paraId="30A57315">
      <w:pPr>
        <w:pStyle w:val="37"/>
        <w:outlineLvl w:val="9"/>
        <w:rPr>
          <w:rFonts w:ascii="Times New Roman" w:hAnsi="Times New Roman"/>
        </w:rPr>
        <w:sectPr>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pPr>
    </w:p>
    <w:p w14:paraId="02327916">
      <w:pPr>
        <w:rPr>
          <w:rFonts w:ascii="Times New Roman" w:hAnsi="Times New Roman"/>
        </w:rPr>
      </w:pPr>
    </w:p>
    <w:p w14:paraId="235F23AA">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2E6C3C51">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7542E054">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1EC5C4F3">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p w14:paraId="6378B425">
      <w:pPr>
        <w:pStyle w:val="6"/>
        <w:jc w:val="center"/>
        <w:rPr>
          <w:rFonts w:hint="eastAsia" w:ascii="Times New Roman" w:hAnsi="Times New Roman" w:eastAsia="方正小标宋简体" w:cs="Times New Roman"/>
          <w:color w:val="auto"/>
          <w:kern w:val="2"/>
          <w:sz w:val="44"/>
          <w:szCs w:val="44"/>
          <w:highlight w:val="none"/>
          <w:lang w:val="en-US" w:eastAsia="zh-CN" w:bidi="ar-SA"/>
        </w:rPr>
      </w:pPr>
      <w:bookmarkStart w:id="6" w:name="_Toc15377426"/>
      <w:bookmarkStart w:id="7" w:name="_Toc15377194"/>
      <w:bookmarkStart w:id="8" w:name="_Toc15378442"/>
      <w:bookmarkStart w:id="9" w:name="_Toc15396476"/>
      <w:bookmarkStart w:id="10" w:name="_Toc15396598"/>
      <w:r>
        <w:rPr>
          <w:rFonts w:hint="eastAsia" w:ascii="Times New Roman" w:hAnsi="Times New Roman" w:eastAsia="方正小标宋简体" w:cs="Times New Roman"/>
          <w:color w:val="auto"/>
          <w:kern w:val="2"/>
          <w:sz w:val="44"/>
          <w:szCs w:val="44"/>
          <w:highlight w:val="none"/>
          <w:lang w:val="en-US" w:eastAsia="zh-CN" w:bidi="ar-SA"/>
        </w:rPr>
        <w:t>2024年度四川省</w:t>
      </w:r>
      <w:bookmarkEnd w:id="5"/>
      <w:bookmarkStart w:id="11" w:name="_Toc15306268"/>
      <w:r>
        <w:rPr>
          <w:rFonts w:hint="eastAsia" w:ascii="Times New Roman" w:eastAsia="方正小标宋简体" w:cs="Times New Roman"/>
          <w:color w:val="auto"/>
          <w:kern w:val="2"/>
          <w:sz w:val="44"/>
          <w:szCs w:val="44"/>
          <w:highlight w:val="none"/>
          <w:lang w:val="en-US" w:eastAsia="zh-CN" w:bidi="ar-SA"/>
        </w:rPr>
        <w:t>遂宁市职业技术学校</w:t>
      </w:r>
      <w:r>
        <w:rPr>
          <w:rFonts w:hint="eastAsia" w:ascii="Times New Roman" w:hAnsi="Times New Roman" w:eastAsia="方正小标宋简体" w:cs="Times New Roman"/>
          <w:color w:val="auto"/>
          <w:kern w:val="2"/>
          <w:sz w:val="44"/>
          <w:szCs w:val="44"/>
          <w:highlight w:val="none"/>
          <w:lang w:val="en-US" w:eastAsia="zh-CN" w:bidi="ar-SA"/>
        </w:rPr>
        <w:t>决算</w:t>
      </w:r>
      <w:bookmarkEnd w:id="6"/>
      <w:bookmarkEnd w:id="7"/>
      <w:bookmarkEnd w:id="8"/>
      <w:bookmarkEnd w:id="9"/>
      <w:bookmarkEnd w:id="10"/>
      <w:bookmarkEnd w:id="11"/>
    </w:p>
    <w:p w14:paraId="06841FAC">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val="en-US" w:eastAsia="zh-CN"/>
        </w:rPr>
      </w:pPr>
    </w:p>
    <w:p w14:paraId="024145F0">
      <w:pPr>
        <w:widowControl/>
        <w:jc w:val="center"/>
        <w:rPr>
          <w:rFonts w:hint="eastAsia" w:ascii="Times New Roman" w:hAnsi="Times New Roman" w:eastAsia="黑体"/>
          <w:color w:val="auto"/>
          <w:sz w:val="48"/>
          <w:szCs w:val="48"/>
          <w:highlight w:val="none"/>
        </w:rPr>
        <w:sectPr>
          <w:footerReference r:id="rId5" w:type="default"/>
          <w:footerReference r:id="rId6" w:type="even"/>
          <w:pgSz w:w="11906" w:h="16838"/>
          <w:pgMar w:top="1701" w:right="1587" w:bottom="1701" w:left="1587" w:header="851" w:footer="953" w:gutter="0"/>
          <w:pgBorders>
            <w:top w:val="none" w:sz="0" w:space="0"/>
            <w:left w:val="none" w:sz="0" w:space="0"/>
            <w:bottom w:val="none" w:sz="0" w:space="0"/>
            <w:right w:val="none" w:sz="0" w:space="0"/>
          </w:pgBorders>
          <w:pgNumType w:fmt="numberInDash" w:start="1"/>
          <w:cols w:space="720" w:num="1"/>
          <w:docGrid w:type="linesAndChars" w:linePitch="626" w:charSpace="-849"/>
        </w:sectPr>
      </w:pPr>
    </w:p>
    <w:sdt>
      <w:sdtPr>
        <w:rPr>
          <w:rFonts w:ascii="宋体" w:hAnsi="宋体" w:eastAsia="宋体" w:cs="Times New Roman"/>
          <w:kern w:val="2"/>
          <w:sz w:val="21"/>
          <w:szCs w:val="24"/>
          <w:lang w:val="en-US" w:eastAsia="zh-CN" w:bidi="ar-SA"/>
        </w:rPr>
        <w:id w:val="147465110"/>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2677B5C6">
          <w:pPr>
            <w:spacing w:before="0" w:beforeLines="0" w:after="0" w:afterLines="0" w:line="240" w:lineRule="auto"/>
            <w:ind w:left="0" w:leftChars="0" w:right="0" w:rightChars="0" w:firstLine="0" w:firstLineChars="0"/>
            <w:jc w:val="center"/>
            <w:rPr>
              <w:rFonts w:hint="eastAsia" w:ascii="黑体" w:hAnsi="黑体" w:eastAsia="黑体" w:cs="黑体"/>
              <w:sz w:val="48"/>
              <w:szCs w:val="48"/>
            </w:rPr>
          </w:pPr>
          <w:r>
            <w:rPr>
              <w:rFonts w:hint="eastAsia" w:ascii="黑体" w:hAnsi="黑体" w:eastAsia="黑体" w:cs="黑体"/>
              <w:sz w:val="48"/>
              <w:szCs w:val="48"/>
            </w:rPr>
            <w:t>目录</w:t>
          </w:r>
        </w:p>
        <w:p w14:paraId="35710FF7">
          <w:pPr>
            <w:pStyle w:val="12"/>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24</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 xml:space="preserve"> 8 </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 xml:space="preserve"> 22 </w:t>
          </w:r>
          <w:r>
            <w:rPr>
              <w:rFonts w:hint="eastAsia" w:ascii="Times New Roman" w:hAnsi="Times New Roman" w:eastAsia="仿宋_GB2312" w:cs="仿宋_GB2312"/>
              <w:color w:val="auto"/>
              <w:sz w:val="32"/>
              <w:szCs w:val="32"/>
              <w:highlight w:val="none"/>
            </w:rPr>
            <w:t>日</w:t>
          </w:r>
        </w:p>
        <w:p w14:paraId="7D78D069">
          <w:pPr>
            <w:pStyle w:val="12"/>
            <w:tabs>
              <w:tab w:val="right" w:leader="dot" w:pos="8732"/>
              <w:tab w:val="clear" w:pos="8296"/>
            </w:tabs>
          </w:pPr>
          <w:r>
            <w:fldChar w:fldCharType="begin"/>
          </w:r>
          <w:r>
            <w:instrText xml:space="preserve">TOC \o "1-2" \h \u </w:instrText>
          </w:r>
          <w:r>
            <w:fldChar w:fldCharType="separate"/>
          </w:r>
        </w:p>
        <w:p w14:paraId="050F74D1">
          <w:pPr>
            <w:pStyle w:val="12"/>
            <w:tabs>
              <w:tab w:val="right" w:leader="dot" w:pos="8732"/>
              <w:tab w:val="clear" w:pos="8296"/>
            </w:tabs>
          </w:pP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HYPERLINK \l _Toc24157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第一部分</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 xml:space="preserve"> </w:t>
          </w:r>
          <w:r>
            <w:rPr>
              <w:rFonts w:hint="eastAsia" w:ascii="黑体" w:hAnsi="黑体" w:eastAsia="黑体" w:cs="黑体"/>
              <w:sz w:val="32"/>
              <w:szCs w:val="32"/>
              <w:highlight w:val="none"/>
              <w:lang w:val="en-US" w:eastAsia="zh-CN"/>
            </w:rPr>
            <w:t>单位</w:t>
          </w:r>
          <w:r>
            <w:rPr>
              <w:rFonts w:hint="eastAsia" w:ascii="黑体" w:hAnsi="黑体" w:eastAsia="黑体" w:cs="黑体"/>
              <w:sz w:val="32"/>
              <w:szCs w:val="32"/>
              <w:highlight w:val="none"/>
            </w:rPr>
            <w:t>部门概况</w:t>
          </w:r>
          <w:r>
            <w:rPr>
              <w:rFonts w:hint="eastAsia" w:ascii="黑体" w:hAnsi="黑体" w:eastAsia="黑体" w:cs="黑体"/>
              <w:sz w:val="32"/>
              <w:szCs w:val="32"/>
              <w:highlight w:val="none"/>
            </w:rPr>
            <w:tab/>
          </w: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PAGEREF _Toc24157 \h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- 3 -</w:t>
          </w:r>
          <w:r>
            <w:rPr>
              <w:rFonts w:hint="eastAsia" w:ascii="黑体" w:hAnsi="黑体" w:eastAsia="黑体" w:cs="黑体"/>
              <w:sz w:val="32"/>
              <w:szCs w:val="32"/>
              <w:highlight w:val="none"/>
            </w:rPr>
            <w:fldChar w:fldCharType="end"/>
          </w:r>
          <w:r>
            <w:rPr>
              <w:rFonts w:hint="eastAsia" w:ascii="黑体" w:hAnsi="黑体" w:eastAsia="黑体" w:cs="黑体"/>
              <w:sz w:val="32"/>
              <w:szCs w:val="32"/>
              <w:highlight w:val="none"/>
            </w:rPr>
            <w:fldChar w:fldCharType="end"/>
          </w:r>
        </w:p>
        <w:p w14:paraId="03484F67">
          <w:pPr>
            <w:pStyle w:val="12"/>
            <w:tabs>
              <w:tab w:val="right" w:leader="dot" w:pos="8732"/>
              <w:tab w:val="clear" w:pos="8296"/>
            </w:tabs>
            <w:rPr>
              <w:rFonts w:hint="eastAsia" w:ascii="Times New Roman" w:hAnsi="Times New Roman" w:eastAsia="仿宋_GB2312" w:cs="仿宋_GB2312"/>
              <w:color w:val="auto"/>
              <w:kern w:val="2"/>
              <w:sz w:val="32"/>
              <w:szCs w:val="32"/>
              <w:highlight w:val="none"/>
              <w:lang w:val="en-US" w:eastAsia="zh-CN" w:bidi="ar-SA"/>
            </w:rPr>
          </w:pPr>
          <w:r>
            <w:rPr>
              <w:rFonts w:hint="eastAsia"/>
              <w:lang w:val="en-US" w:eastAsia="zh-CN"/>
            </w:rPr>
            <w:t xml:space="preserve">   </w:t>
          </w:r>
          <w:r>
            <w:rPr>
              <w:rFonts w:hint="eastAsia"/>
              <w:sz w:val="32"/>
              <w:szCs w:val="32"/>
              <w:lang w:val="en-US" w:eastAsia="zh-CN"/>
            </w:rPr>
            <w:t xml:space="preserve"> </w:t>
          </w:r>
          <w:r>
            <w:rPr>
              <w:rFonts w:hint="eastAsia" w:ascii="Times New Roman" w:hAnsi="Times New Roman" w:eastAsia="仿宋_GB2312" w:cs="仿宋_GB2312"/>
              <w:color w:val="auto"/>
              <w:kern w:val="2"/>
              <w:sz w:val="32"/>
              <w:szCs w:val="32"/>
              <w:highlight w:val="none"/>
              <w:lang w:val="en-US" w:eastAsia="zh-CN" w:bidi="ar-SA"/>
            </w:rPr>
            <w:fldChar w:fldCharType="begin"/>
          </w:r>
          <w:r>
            <w:rPr>
              <w:rFonts w:hint="eastAsia" w:ascii="Times New Roman" w:hAnsi="Times New Roman" w:eastAsia="仿宋_GB2312" w:cs="仿宋_GB2312"/>
              <w:color w:val="auto"/>
              <w:kern w:val="2"/>
              <w:sz w:val="32"/>
              <w:szCs w:val="32"/>
              <w:highlight w:val="none"/>
              <w:lang w:val="en-US" w:eastAsia="zh-CN" w:bidi="ar-SA"/>
            </w:rPr>
            <w:instrText xml:space="preserve"> HYPERLINK \l _Toc3398 </w:instrText>
          </w:r>
          <w:r>
            <w:rPr>
              <w:rFonts w:hint="eastAsia" w:ascii="Times New Roman" w:hAnsi="Times New Roman" w:eastAsia="仿宋_GB2312" w:cs="仿宋_GB2312"/>
              <w:color w:val="auto"/>
              <w:kern w:val="2"/>
              <w:sz w:val="32"/>
              <w:szCs w:val="32"/>
              <w:highlight w:val="none"/>
              <w:lang w:val="en-US" w:eastAsia="zh-CN" w:bidi="ar-SA"/>
            </w:rPr>
            <w:fldChar w:fldCharType="separate"/>
          </w:r>
          <w:r>
            <w:rPr>
              <w:rFonts w:hint="eastAsia" w:ascii="Times New Roman" w:hAnsi="Times New Roman" w:eastAsia="仿宋_GB2312" w:cs="仿宋_GB2312"/>
              <w:color w:val="auto"/>
              <w:kern w:val="2"/>
              <w:sz w:val="32"/>
              <w:szCs w:val="32"/>
              <w:highlight w:val="none"/>
              <w:lang w:val="en-US" w:eastAsia="zh-CN" w:bidi="ar-SA"/>
            </w:rPr>
            <w:t>一、单位部门职责</w:t>
          </w:r>
          <w:r>
            <w:rPr>
              <w:rFonts w:hint="eastAsia" w:ascii="Times New Roman" w:hAnsi="Times New Roman" w:eastAsia="仿宋_GB2312" w:cs="仿宋_GB2312"/>
              <w:color w:val="auto"/>
              <w:kern w:val="2"/>
              <w:sz w:val="32"/>
              <w:szCs w:val="32"/>
              <w:highlight w:val="none"/>
              <w:lang w:val="en-US" w:eastAsia="zh-CN" w:bidi="ar-SA"/>
            </w:rPr>
            <w:tab/>
          </w:r>
          <w:r>
            <w:rPr>
              <w:rFonts w:hint="eastAsia" w:ascii="Times New Roman" w:hAnsi="Times New Roman" w:eastAsia="仿宋_GB2312" w:cs="仿宋_GB2312"/>
              <w:color w:val="auto"/>
              <w:kern w:val="2"/>
              <w:sz w:val="32"/>
              <w:szCs w:val="32"/>
              <w:highlight w:val="none"/>
              <w:lang w:val="en-US" w:eastAsia="zh-CN" w:bidi="ar-SA"/>
            </w:rPr>
            <w:fldChar w:fldCharType="begin"/>
          </w:r>
          <w:r>
            <w:rPr>
              <w:rFonts w:hint="eastAsia" w:ascii="Times New Roman" w:hAnsi="Times New Roman" w:eastAsia="仿宋_GB2312" w:cs="仿宋_GB2312"/>
              <w:color w:val="auto"/>
              <w:kern w:val="2"/>
              <w:sz w:val="32"/>
              <w:szCs w:val="32"/>
              <w:highlight w:val="none"/>
              <w:lang w:val="en-US" w:eastAsia="zh-CN" w:bidi="ar-SA"/>
            </w:rPr>
            <w:instrText xml:space="preserve"> PAGEREF _Toc3398 \h </w:instrText>
          </w:r>
          <w:r>
            <w:rPr>
              <w:rFonts w:hint="eastAsia" w:ascii="Times New Roman" w:hAnsi="Times New Roman" w:eastAsia="仿宋_GB2312" w:cs="仿宋_GB2312"/>
              <w:color w:val="auto"/>
              <w:kern w:val="2"/>
              <w:sz w:val="32"/>
              <w:szCs w:val="32"/>
              <w:highlight w:val="none"/>
              <w:lang w:val="en-US" w:eastAsia="zh-CN" w:bidi="ar-SA"/>
            </w:rPr>
            <w:fldChar w:fldCharType="separate"/>
          </w:r>
          <w:r>
            <w:rPr>
              <w:rFonts w:hint="eastAsia" w:ascii="Times New Roman" w:hAnsi="Times New Roman" w:eastAsia="仿宋_GB2312" w:cs="仿宋_GB2312"/>
              <w:color w:val="auto"/>
              <w:kern w:val="2"/>
              <w:sz w:val="32"/>
              <w:szCs w:val="32"/>
              <w:highlight w:val="none"/>
              <w:lang w:val="en-US" w:eastAsia="zh-CN" w:bidi="ar-SA"/>
            </w:rPr>
            <w:t>- 3 -</w:t>
          </w:r>
          <w:r>
            <w:rPr>
              <w:rFonts w:hint="eastAsia" w:ascii="Times New Roman" w:hAnsi="Times New Roman" w:eastAsia="仿宋_GB2312" w:cs="仿宋_GB2312"/>
              <w:color w:val="auto"/>
              <w:kern w:val="2"/>
              <w:sz w:val="32"/>
              <w:szCs w:val="32"/>
              <w:highlight w:val="none"/>
              <w:lang w:val="en-US" w:eastAsia="zh-CN" w:bidi="ar-SA"/>
            </w:rPr>
            <w:fldChar w:fldCharType="end"/>
          </w:r>
          <w:r>
            <w:rPr>
              <w:rFonts w:hint="eastAsia" w:ascii="Times New Roman" w:hAnsi="Times New Roman" w:eastAsia="仿宋_GB2312" w:cs="仿宋_GB2312"/>
              <w:color w:val="auto"/>
              <w:kern w:val="2"/>
              <w:sz w:val="32"/>
              <w:szCs w:val="32"/>
              <w:highlight w:val="none"/>
              <w:lang w:val="en-US" w:eastAsia="zh-CN" w:bidi="ar-SA"/>
            </w:rPr>
            <w:fldChar w:fldCharType="end"/>
          </w:r>
        </w:p>
        <w:p w14:paraId="2B926280">
          <w:pPr>
            <w:pStyle w:val="12"/>
            <w:tabs>
              <w:tab w:val="right" w:leader="dot" w:pos="8732"/>
              <w:tab w:val="clear" w:pos="8296"/>
            </w:tabs>
          </w:pPr>
          <w:r>
            <w:rPr>
              <w:rFonts w:hint="eastAsia" w:ascii="Times New Roman" w:hAnsi="Times New Roman" w:eastAsia="仿宋_GB2312" w:cs="仿宋_GB2312"/>
              <w:color w:val="auto"/>
              <w:kern w:val="2"/>
              <w:sz w:val="32"/>
              <w:szCs w:val="32"/>
              <w:highlight w:val="none"/>
              <w:lang w:val="en-US" w:eastAsia="zh-CN" w:bidi="ar-SA"/>
            </w:rPr>
            <w:t xml:space="preserve">    </w:t>
          </w:r>
          <w:r>
            <w:rPr>
              <w:rFonts w:hint="eastAsia" w:ascii="Times New Roman" w:hAnsi="Times New Roman" w:eastAsia="仿宋_GB2312" w:cs="仿宋_GB2312"/>
              <w:color w:val="auto"/>
              <w:kern w:val="2"/>
              <w:sz w:val="32"/>
              <w:szCs w:val="32"/>
              <w:highlight w:val="none"/>
              <w:lang w:val="en-US" w:eastAsia="zh-CN" w:bidi="ar-SA"/>
            </w:rPr>
            <w:fldChar w:fldCharType="begin"/>
          </w:r>
          <w:r>
            <w:rPr>
              <w:rFonts w:hint="eastAsia" w:ascii="Times New Roman" w:hAnsi="Times New Roman" w:eastAsia="仿宋_GB2312" w:cs="仿宋_GB2312"/>
              <w:color w:val="auto"/>
              <w:kern w:val="2"/>
              <w:sz w:val="32"/>
              <w:szCs w:val="32"/>
              <w:highlight w:val="none"/>
              <w:lang w:val="en-US" w:eastAsia="zh-CN" w:bidi="ar-SA"/>
            </w:rPr>
            <w:instrText xml:space="preserve"> HYPERLINK \l _Toc17434 </w:instrText>
          </w:r>
          <w:r>
            <w:rPr>
              <w:rFonts w:hint="eastAsia" w:ascii="Times New Roman" w:hAnsi="Times New Roman" w:eastAsia="仿宋_GB2312" w:cs="仿宋_GB2312"/>
              <w:color w:val="auto"/>
              <w:kern w:val="2"/>
              <w:sz w:val="32"/>
              <w:szCs w:val="32"/>
              <w:highlight w:val="none"/>
              <w:lang w:val="en-US" w:eastAsia="zh-CN" w:bidi="ar-SA"/>
            </w:rPr>
            <w:fldChar w:fldCharType="separate"/>
          </w:r>
          <w:r>
            <w:rPr>
              <w:rFonts w:hint="eastAsia" w:ascii="Times New Roman" w:hAnsi="Times New Roman" w:eastAsia="仿宋_GB2312" w:cs="仿宋_GB2312"/>
              <w:color w:val="auto"/>
              <w:kern w:val="2"/>
              <w:sz w:val="32"/>
              <w:szCs w:val="32"/>
              <w:highlight w:val="none"/>
              <w:lang w:val="en-US" w:eastAsia="zh-CN" w:bidi="ar-SA"/>
            </w:rPr>
            <w:t>二、机构设置</w:t>
          </w:r>
          <w:r>
            <w:rPr>
              <w:rFonts w:hint="eastAsia" w:ascii="Times New Roman" w:hAnsi="Times New Roman" w:eastAsia="仿宋_GB2312" w:cs="仿宋_GB2312"/>
              <w:color w:val="auto"/>
              <w:kern w:val="2"/>
              <w:sz w:val="32"/>
              <w:szCs w:val="32"/>
              <w:highlight w:val="none"/>
              <w:lang w:val="en-US" w:eastAsia="zh-CN" w:bidi="ar-SA"/>
            </w:rPr>
            <w:tab/>
          </w:r>
          <w:r>
            <w:rPr>
              <w:rFonts w:hint="eastAsia" w:ascii="Times New Roman" w:hAnsi="Times New Roman" w:eastAsia="仿宋_GB2312" w:cs="仿宋_GB2312"/>
              <w:color w:val="auto"/>
              <w:kern w:val="2"/>
              <w:sz w:val="32"/>
              <w:szCs w:val="32"/>
              <w:highlight w:val="none"/>
              <w:lang w:val="en-US" w:eastAsia="zh-CN" w:bidi="ar-SA"/>
            </w:rPr>
            <w:fldChar w:fldCharType="begin"/>
          </w:r>
          <w:r>
            <w:rPr>
              <w:rFonts w:hint="eastAsia" w:ascii="Times New Roman" w:hAnsi="Times New Roman" w:eastAsia="仿宋_GB2312" w:cs="仿宋_GB2312"/>
              <w:color w:val="auto"/>
              <w:kern w:val="2"/>
              <w:sz w:val="32"/>
              <w:szCs w:val="32"/>
              <w:highlight w:val="none"/>
              <w:lang w:val="en-US" w:eastAsia="zh-CN" w:bidi="ar-SA"/>
            </w:rPr>
            <w:instrText xml:space="preserve"> PAGEREF _Toc17434 \h </w:instrText>
          </w:r>
          <w:r>
            <w:rPr>
              <w:rFonts w:hint="eastAsia" w:ascii="Times New Roman" w:hAnsi="Times New Roman" w:eastAsia="仿宋_GB2312" w:cs="仿宋_GB2312"/>
              <w:color w:val="auto"/>
              <w:kern w:val="2"/>
              <w:sz w:val="32"/>
              <w:szCs w:val="32"/>
              <w:highlight w:val="none"/>
              <w:lang w:val="en-US" w:eastAsia="zh-CN" w:bidi="ar-SA"/>
            </w:rPr>
            <w:fldChar w:fldCharType="separate"/>
          </w:r>
          <w:r>
            <w:rPr>
              <w:rFonts w:hint="eastAsia" w:ascii="Times New Roman" w:hAnsi="Times New Roman" w:eastAsia="仿宋_GB2312" w:cs="仿宋_GB2312"/>
              <w:color w:val="auto"/>
              <w:kern w:val="2"/>
              <w:sz w:val="32"/>
              <w:szCs w:val="32"/>
              <w:highlight w:val="none"/>
              <w:lang w:val="en-US" w:eastAsia="zh-CN" w:bidi="ar-SA"/>
            </w:rPr>
            <w:t>- 3 -</w:t>
          </w:r>
          <w:r>
            <w:rPr>
              <w:rFonts w:hint="eastAsia" w:ascii="Times New Roman" w:hAnsi="Times New Roman" w:eastAsia="仿宋_GB2312" w:cs="仿宋_GB2312"/>
              <w:color w:val="auto"/>
              <w:kern w:val="2"/>
              <w:sz w:val="32"/>
              <w:szCs w:val="32"/>
              <w:highlight w:val="none"/>
              <w:lang w:val="en-US" w:eastAsia="zh-CN" w:bidi="ar-SA"/>
            </w:rPr>
            <w:fldChar w:fldCharType="end"/>
          </w:r>
          <w:r>
            <w:rPr>
              <w:rFonts w:hint="eastAsia" w:ascii="Times New Roman" w:hAnsi="Times New Roman" w:eastAsia="仿宋_GB2312" w:cs="仿宋_GB2312"/>
              <w:color w:val="auto"/>
              <w:kern w:val="2"/>
              <w:sz w:val="32"/>
              <w:szCs w:val="32"/>
              <w:highlight w:val="none"/>
              <w:lang w:val="en-US" w:eastAsia="zh-CN" w:bidi="ar-SA"/>
            </w:rPr>
            <w:fldChar w:fldCharType="end"/>
          </w:r>
        </w:p>
        <w:p w14:paraId="4CA826E5">
          <w:pPr>
            <w:pStyle w:val="12"/>
            <w:tabs>
              <w:tab w:val="right" w:leader="dot" w:pos="8732"/>
              <w:tab w:val="clear" w:pos="8296"/>
            </w:tabs>
          </w:pP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HYPERLINK \l _Toc10019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第二部分</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 xml:space="preserve"> </w:t>
          </w:r>
          <w:r>
            <w:rPr>
              <w:rFonts w:hint="eastAsia" w:ascii="黑体" w:hAnsi="黑体" w:eastAsia="黑体" w:cs="黑体"/>
              <w:sz w:val="32"/>
              <w:szCs w:val="32"/>
              <w:highlight w:val="none"/>
              <w:lang w:val="en-US" w:eastAsia="zh-CN"/>
            </w:rPr>
            <w:t>2024年度单位</w:t>
          </w:r>
          <w:r>
            <w:rPr>
              <w:rFonts w:hint="eastAsia" w:ascii="黑体" w:hAnsi="黑体" w:eastAsia="黑体" w:cs="黑体"/>
              <w:sz w:val="32"/>
              <w:szCs w:val="32"/>
              <w:highlight w:val="none"/>
            </w:rPr>
            <w:t>决算情况说明</w:t>
          </w:r>
          <w:r>
            <w:rPr>
              <w:rFonts w:hint="eastAsia" w:ascii="黑体" w:hAnsi="黑体" w:eastAsia="黑体" w:cs="黑体"/>
              <w:sz w:val="32"/>
              <w:szCs w:val="32"/>
              <w:highlight w:val="none"/>
            </w:rPr>
            <w:tab/>
          </w: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PAGEREF _Toc10019 \h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- 4 -</w:t>
          </w:r>
          <w:r>
            <w:rPr>
              <w:rFonts w:hint="eastAsia" w:ascii="黑体" w:hAnsi="黑体" w:eastAsia="黑体" w:cs="黑体"/>
              <w:sz w:val="32"/>
              <w:szCs w:val="32"/>
              <w:highlight w:val="none"/>
            </w:rPr>
            <w:fldChar w:fldCharType="end"/>
          </w:r>
          <w:r>
            <w:rPr>
              <w:rFonts w:hint="eastAsia" w:ascii="黑体" w:hAnsi="黑体" w:eastAsia="黑体" w:cs="黑体"/>
              <w:sz w:val="32"/>
              <w:szCs w:val="32"/>
              <w:highlight w:val="none"/>
            </w:rPr>
            <w:fldChar w:fldCharType="end"/>
          </w:r>
        </w:p>
        <w:p w14:paraId="5AE7ADCA">
          <w:pPr>
            <w:pStyle w:val="12"/>
            <w:tabs>
              <w:tab w:val="right" w:leader="dot" w:pos="8732"/>
              <w:tab w:val="clear" w:pos="8296"/>
            </w:tabs>
            <w:rPr>
              <w:rFonts w:hint="eastAsia"/>
              <w:sz w:val="32"/>
              <w:szCs w:val="32"/>
              <w:lang w:val="en-US" w:eastAsia="zh-CN"/>
            </w:rPr>
          </w:pPr>
          <w:r>
            <w:rPr>
              <w:rFonts w:hint="eastAsia"/>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_Toc12524 </w:instrText>
          </w:r>
          <w:r>
            <w:rPr>
              <w:rFonts w:hint="eastAsia"/>
              <w:sz w:val="32"/>
              <w:szCs w:val="32"/>
              <w:lang w:val="en-US" w:eastAsia="zh-CN"/>
            </w:rPr>
            <w:fldChar w:fldCharType="separate"/>
          </w:r>
          <w:r>
            <w:rPr>
              <w:rFonts w:hint="eastAsia"/>
              <w:sz w:val="32"/>
              <w:szCs w:val="32"/>
              <w:lang w:val="en-US" w:eastAsia="zh-CN"/>
            </w:rPr>
            <w:t>一、收入支出决算总体情况说明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_Toc12524 \h </w:instrText>
          </w:r>
          <w:r>
            <w:rPr>
              <w:rFonts w:hint="eastAsia"/>
              <w:sz w:val="32"/>
              <w:szCs w:val="32"/>
              <w:lang w:val="en-US" w:eastAsia="zh-CN"/>
            </w:rPr>
            <w:fldChar w:fldCharType="separate"/>
          </w:r>
          <w:r>
            <w:rPr>
              <w:rFonts w:hint="eastAsia"/>
              <w:sz w:val="32"/>
              <w:szCs w:val="32"/>
              <w:lang w:val="en-US" w:eastAsia="zh-CN"/>
            </w:rPr>
            <w:t>- 4 -</w:t>
          </w:r>
          <w:r>
            <w:rPr>
              <w:rFonts w:hint="eastAsia"/>
              <w:sz w:val="32"/>
              <w:szCs w:val="32"/>
              <w:lang w:val="en-US" w:eastAsia="zh-CN"/>
            </w:rPr>
            <w:fldChar w:fldCharType="end"/>
          </w:r>
          <w:r>
            <w:rPr>
              <w:rFonts w:hint="eastAsia"/>
              <w:sz w:val="32"/>
              <w:szCs w:val="32"/>
              <w:lang w:val="en-US" w:eastAsia="zh-CN"/>
            </w:rPr>
            <w:fldChar w:fldCharType="end"/>
          </w:r>
        </w:p>
        <w:p w14:paraId="2E13C868">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_Toc24209 </w:instrText>
          </w:r>
          <w:r>
            <w:rPr>
              <w:rFonts w:hint="eastAsia"/>
              <w:sz w:val="32"/>
              <w:szCs w:val="32"/>
              <w:lang w:val="en-US" w:eastAsia="zh-CN"/>
            </w:rPr>
            <w:fldChar w:fldCharType="separate"/>
          </w:r>
          <w:r>
            <w:rPr>
              <w:rFonts w:hint="eastAsia"/>
              <w:sz w:val="32"/>
              <w:szCs w:val="32"/>
              <w:lang w:val="en-US" w:eastAsia="zh-CN"/>
            </w:rPr>
            <w:t>二、收入决算情况说明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_Toc24209 \h </w:instrText>
          </w:r>
          <w:r>
            <w:rPr>
              <w:rFonts w:hint="eastAsia"/>
              <w:sz w:val="32"/>
              <w:szCs w:val="32"/>
              <w:lang w:val="en-US" w:eastAsia="zh-CN"/>
            </w:rPr>
            <w:fldChar w:fldCharType="separate"/>
          </w:r>
          <w:r>
            <w:rPr>
              <w:rFonts w:hint="eastAsia"/>
              <w:sz w:val="32"/>
              <w:szCs w:val="32"/>
              <w:lang w:val="en-US" w:eastAsia="zh-CN"/>
            </w:rPr>
            <w:t>- 4 -</w:t>
          </w:r>
          <w:r>
            <w:rPr>
              <w:rFonts w:hint="eastAsia"/>
              <w:sz w:val="32"/>
              <w:szCs w:val="32"/>
              <w:lang w:val="en-US" w:eastAsia="zh-CN"/>
            </w:rPr>
            <w:fldChar w:fldCharType="end"/>
          </w:r>
          <w:r>
            <w:rPr>
              <w:rFonts w:hint="eastAsia"/>
              <w:sz w:val="32"/>
              <w:szCs w:val="32"/>
              <w:lang w:val="en-US" w:eastAsia="zh-CN"/>
            </w:rPr>
            <w:fldChar w:fldCharType="end"/>
          </w:r>
        </w:p>
        <w:p w14:paraId="22A883EA">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_Toc2451 </w:instrText>
          </w:r>
          <w:r>
            <w:rPr>
              <w:rFonts w:hint="eastAsia"/>
              <w:sz w:val="32"/>
              <w:szCs w:val="32"/>
              <w:lang w:val="en-US" w:eastAsia="zh-CN"/>
            </w:rPr>
            <w:fldChar w:fldCharType="separate"/>
          </w:r>
          <w:r>
            <w:rPr>
              <w:rFonts w:hint="eastAsia"/>
              <w:sz w:val="32"/>
              <w:szCs w:val="32"/>
              <w:lang w:val="en-US" w:eastAsia="zh-CN"/>
            </w:rPr>
            <w:t>三、支出决算情况说明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_Toc2451 \h </w:instrText>
          </w:r>
          <w:r>
            <w:rPr>
              <w:rFonts w:hint="eastAsia"/>
              <w:sz w:val="32"/>
              <w:szCs w:val="32"/>
              <w:lang w:val="en-US" w:eastAsia="zh-CN"/>
            </w:rPr>
            <w:fldChar w:fldCharType="separate"/>
          </w:r>
          <w:r>
            <w:rPr>
              <w:rFonts w:hint="eastAsia"/>
              <w:sz w:val="32"/>
              <w:szCs w:val="32"/>
              <w:lang w:val="en-US" w:eastAsia="zh-CN"/>
            </w:rPr>
            <w:t>- 5 -</w:t>
          </w:r>
          <w:r>
            <w:rPr>
              <w:rFonts w:hint="eastAsia"/>
              <w:sz w:val="32"/>
              <w:szCs w:val="32"/>
              <w:lang w:val="en-US" w:eastAsia="zh-CN"/>
            </w:rPr>
            <w:fldChar w:fldCharType="end"/>
          </w:r>
          <w:r>
            <w:rPr>
              <w:rFonts w:hint="eastAsia"/>
              <w:sz w:val="32"/>
              <w:szCs w:val="32"/>
              <w:lang w:val="en-US" w:eastAsia="zh-CN"/>
            </w:rPr>
            <w:fldChar w:fldCharType="end"/>
          </w:r>
        </w:p>
        <w:p w14:paraId="1C0BF772">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_Toc28145 </w:instrText>
          </w:r>
          <w:r>
            <w:rPr>
              <w:rFonts w:hint="eastAsia"/>
              <w:sz w:val="32"/>
              <w:szCs w:val="32"/>
              <w:lang w:val="en-US" w:eastAsia="zh-CN"/>
            </w:rPr>
            <w:fldChar w:fldCharType="separate"/>
          </w:r>
          <w:r>
            <w:rPr>
              <w:rFonts w:hint="eastAsia"/>
              <w:sz w:val="32"/>
              <w:szCs w:val="32"/>
              <w:lang w:val="en-US" w:eastAsia="zh-CN"/>
            </w:rPr>
            <w:t>四、财政拨款收入支出决算总体情况说明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_Toc28145 \h </w:instrText>
          </w:r>
          <w:r>
            <w:rPr>
              <w:rFonts w:hint="eastAsia"/>
              <w:sz w:val="32"/>
              <w:szCs w:val="32"/>
              <w:lang w:val="en-US" w:eastAsia="zh-CN"/>
            </w:rPr>
            <w:fldChar w:fldCharType="separate"/>
          </w:r>
          <w:r>
            <w:rPr>
              <w:rFonts w:hint="eastAsia"/>
              <w:sz w:val="32"/>
              <w:szCs w:val="32"/>
              <w:lang w:val="en-US" w:eastAsia="zh-CN"/>
            </w:rPr>
            <w:t>- 5 -</w:t>
          </w:r>
          <w:r>
            <w:rPr>
              <w:rFonts w:hint="eastAsia"/>
              <w:sz w:val="32"/>
              <w:szCs w:val="32"/>
              <w:lang w:val="en-US" w:eastAsia="zh-CN"/>
            </w:rPr>
            <w:fldChar w:fldCharType="end"/>
          </w:r>
          <w:r>
            <w:rPr>
              <w:rFonts w:hint="eastAsia"/>
              <w:sz w:val="32"/>
              <w:szCs w:val="32"/>
              <w:lang w:val="en-US" w:eastAsia="zh-CN"/>
            </w:rPr>
            <w:fldChar w:fldCharType="end"/>
          </w:r>
        </w:p>
        <w:p w14:paraId="247E4900">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_Toc19737 </w:instrText>
          </w:r>
          <w:r>
            <w:rPr>
              <w:rFonts w:hint="eastAsia"/>
              <w:sz w:val="32"/>
              <w:szCs w:val="32"/>
              <w:lang w:val="en-US" w:eastAsia="zh-CN"/>
            </w:rPr>
            <w:fldChar w:fldCharType="separate"/>
          </w:r>
          <w:r>
            <w:rPr>
              <w:rFonts w:hint="eastAsia"/>
              <w:sz w:val="32"/>
              <w:szCs w:val="32"/>
              <w:lang w:val="en-US" w:eastAsia="zh-CN"/>
            </w:rPr>
            <w:t>五、一般公共预算财政拨款支出决算情况说明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_Toc19737 \h </w:instrText>
          </w:r>
          <w:r>
            <w:rPr>
              <w:rFonts w:hint="eastAsia"/>
              <w:sz w:val="32"/>
              <w:szCs w:val="32"/>
              <w:lang w:val="en-US" w:eastAsia="zh-CN"/>
            </w:rPr>
            <w:fldChar w:fldCharType="separate"/>
          </w:r>
          <w:r>
            <w:rPr>
              <w:rFonts w:hint="eastAsia"/>
              <w:sz w:val="32"/>
              <w:szCs w:val="32"/>
              <w:lang w:val="en-US" w:eastAsia="zh-CN"/>
            </w:rPr>
            <w:t>- 6 -</w:t>
          </w:r>
          <w:r>
            <w:rPr>
              <w:rFonts w:hint="eastAsia"/>
              <w:sz w:val="32"/>
              <w:szCs w:val="32"/>
              <w:lang w:val="en-US" w:eastAsia="zh-CN"/>
            </w:rPr>
            <w:fldChar w:fldCharType="end"/>
          </w:r>
          <w:r>
            <w:rPr>
              <w:rFonts w:hint="eastAsia"/>
              <w:sz w:val="32"/>
              <w:szCs w:val="32"/>
              <w:lang w:val="en-US" w:eastAsia="zh-CN"/>
            </w:rPr>
            <w:fldChar w:fldCharType="end"/>
          </w:r>
        </w:p>
        <w:p w14:paraId="5765D7BB">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_Toc23499 </w:instrText>
          </w:r>
          <w:r>
            <w:rPr>
              <w:rFonts w:hint="eastAsia"/>
              <w:sz w:val="32"/>
              <w:szCs w:val="32"/>
              <w:lang w:val="en-US" w:eastAsia="zh-CN"/>
            </w:rPr>
            <w:fldChar w:fldCharType="separate"/>
          </w:r>
          <w:r>
            <w:rPr>
              <w:rFonts w:hint="eastAsia"/>
              <w:sz w:val="32"/>
              <w:szCs w:val="32"/>
              <w:lang w:val="en-US" w:eastAsia="zh-CN"/>
            </w:rPr>
            <w:t>六、一般公共预算财政拨款基本支出决算情况说明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_Toc23499 \h </w:instrText>
          </w:r>
          <w:r>
            <w:rPr>
              <w:rFonts w:hint="eastAsia"/>
              <w:sz w:val="32"/>
              <w:szCs w:val="32"/>
              <w:lang w:val="en-US" w:eastAsia="zh-CN"/>
            </w:rPr>
            <w:fldChar w:fldCharType="separate"/>
          </w:r>
          <w:r>
            <w:rPr>
              <w:rFonts w:hint="eastAsia"/>
              <w:sz w:val="32"/>
              <w:szCs w:val="32"/>
              <w:lang w:val="en-US" w:eastAsia="zh-CN"/>
            </w:rPr>
            <w:t>- 8 -</w:t>
          </w:r>
          <w:r>
            <w:rPr>
              <w:rFonts w:hint="eastAsia"/>
              <w:sz w:val="32"/>
              <w:szCs w:val="32"/>
              <w:lang w:val="en-US" w:eastAsia="zh-CN"/>
            </w:rPr>
            <w:fldChar w:fldCharType="end"/>
          </w:r>
          <w:r>
            <w:rPr>
              <w:rFonts w:hint="eastAsia"/>
              <w:sz w:val="32"/>
              <w:szCs w:val="32"/>
              <w:lang w:val="en-US" w:eastAsia="zh-CN"/>
            </w:rPr>
            <w:fldChar w:fldCharType="end"/>
          </w:r>
        </w:p>
        <w:p w14:paraId="146610C5">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_Toc4357 </w:instrText>
          </w:r>
          <w:r>
            <w:rPr>
              <w:rFonts w:hint="eastAsia"/>
              <w:sz w:val="32"/>
              <w:szCs w:val="32"/>
              <w:lang w:val="en-US" w:eastAsia="zh-CN"/>
            </w:rPr>
            <w:fldChar w:fldCharType="separate"/>
          </w:r>
          <w:r>
            <w:rPr>
              <w:rFonts w:hint="eastAsia"/>
              <w:sz w:val="32"/>
              <w:szCs w:val="32"/>
              <w:lang w:val="en-US" w:eastAsia="zh-CN"/>
            </w:rPr>
            <w:t>七、财政拨款“三公”经费支出决算情况说明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_Toc4357 \h </w:instrText>
          </w:r>
          <w:r>
            <w:rPr>
              <w:rFonts w:hint="eastAsia"/>
              <w:sz w:val="32"/>
              <w:szCs w:val="32"/>
              <w:lang w:val="en-US" w:eastAsia="zh-CN"/>
            </w:rPr>
            <w:fldChar w:fldCharType="separate"/>
          </w:r>
          <w:r>
            <w:rPr>
              <w:rFonts w:hint="eastAsia"/>
              <w:sz w:val="32"/>
              <w:szCs w:val="32"/>
              <w:lang w:val="en-US" w:eastAsia="zh-CN"/>
            </w:rPr>
            <w:t>- 9 -</w:t>
          </w:r>
          <w:r>
            <w:rPr>
              <w:rFonts w:hint="eastAsia"/>
              <w:sz w:val="32"/>
              <w:szCs w:val="32"/>
              <w:lang w:val="en-US" w:eastAsia="zh-CN"/>
            </w:rPr>
            <w:fldChar w:fldCharType="end"/>
          </w:r>
          <w:r>
            <w:rPr>
              <w:rFonts w:hint="eastAsia"/>
              <w:sz w:val="32"/>
              <w:szCs w:val="32"/>
              <w:lang w:val="en-US" w:eastAsia="zh-CN"/>
            </w:rPr>
            <w:fldChar w:fldCharType="end"/>
          </w:r>
        </w:p>
        <w:p w14:paraId="73D44123">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_Toc1543 </w:instrText>
          </w:r>
          <w:r>
            <w:rPr>
              <w:rFonts w:hint="eastAsia"/>
              <w:sz w:val="32"/>
              <w:szCs w:val="32"/>
              <w:lang w:val="en-US" w:eastAsia="zh-CN"/>
            </w:rPr>
            <w:fldChar w:fldCharType="separate"/>
          </w:r>
          <w:r>
            <w:rPr>
              <w:rFonts w:hint="eastAsia"/>
              <w:sz w:val="32"/>
              <w:szCs w:val="32"/>
              <w:lang w:val="en-US" w:eastAsia="zh-CN"/>
            </w:rPr>
            <w:t>八、政府性基金预算支出决算情况说明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_Toc1543 \h </w:instrText>
          </w:r>
          <w:r>
            <w:rPr>
              <w:rFonts w:hint="eastAsia"/>
              <w:sz w:val="32"/>
              <w:szCs w:val="32"/>
              <w:lang w:val="en-US" w:eastAsia="zh-CN"/>
            </w:rPr>
            <w:fldChar w:fldCharType="separate"/>
          </w:r>
          <w:r>
            <w:rPr>
              <w:rFonts w:hint="eastAsia"/>
              <w:sz w:val="32"/>
              <w:szCs w:val="32"/>
              <w:lang w:val="en-US" w:eastAsia="zh-CN"/>
            </w:rPr>
            <w:t>- 10 -</w:t>
          </w:r>
          <w:r>
            <w:rPr>
              <w:rFonts w:hint="eastAsia"/>
              <w:sz w:val="32"/>
              <w:szCs w:val="32"/>
              <w:lang w:val="en-US" w:eastAsia="zh-CN"/>
            </w:rPr>
            <w:fldChar w:fldCharType="end"/>
          </w:r>
          <w:r>
            <w:rPr>
              <w:rFonts w:hint="eastAsia"/>
              <w:sz w:val="32"/>
              <w:szCs w:val="32"/>
              <w:lang w:val="en-US" w:eastAsia="zh-CN"/>
            </w:rPr>
            <w:fldChar w:fldCharType="end"/>
          </w:r>
        </w:p>
        <w:p w14:paraId="31654F15">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_Toc11399 </w:instrText>
          </w:r>
          <w:r>
            <w:rPr>
              <w:rFonts w:hint="eastAsia"/>
              <w:sz w:val="32"/>
              <w:szCs w:val="32"/>
              <w:lang w:val="en-US" w:eastAsia="zh-CN"/>
            </w:rPr>
            <w:fldChar w:fldCharType="separate"/>
          </w:r>
          <w:r>
            <w:rPr>
              <w:rFonts w:hint="eastAsia"/>
              <w:sz w:val="32"/>
              <w:szCs w:val="32"/>
              <w:lang w:val="en-US" w:eastAsia="zh-CN"/>
            </w:rPr>
            <w:t>九、国有资本经营预算支出决算情况说明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_Toc11399 \h </w:instrText>
          </w:r>
          <w:r>
            <w:rPr>
              <w:rFonts w:hint="eastAsia"/>
              <w:sz w:val="32"/>
              <w:szCs w:val="32"/>
              <w:lang w:val="en-US" w:eastAsia="zh-CN"/>
            </w:rPr>
            <w:fldChar w:fldCharType="separate"/>
          </w:r>
          <w:r>
            <w:rPr>
              <w:rFonts w:hint="eastAsia"/>
              <w:sz w:val="32"/>
              <w:szCs w:val="32"/>
              <w:lang w:val="en-US" w:eastAsia="zh-CN"/>
            </w:rPr>
            <w:t>- 10 -</w:t>
          </w:r>
          <w:r>
            <w:rPr>
              <w:rFonts w:hint="eastAsia"/>
              <w:sz w:val="32"/>
              <w:szCs w:val="32"/>
              <w:lang w:val="en-US" w:eastAsia="zh-CN"/>
            </w:rPr>
            <w:fldChar w:fldCharType="end"/>
          </w:r>
          <w:r>
            <w:rPr>
              <w:rFonts w:hint="eastAsia"/>
              <w:sz w:val="32"/>
              <w:szCs w:val="32"/>
              <w:lang w:val="en-US" w:eastAsia="zh-CN"/>
            </w:rPr>
            <w:fldChar w:fldCharType="end"/>
          </w:r>
        </w:p>
        <w:p w14:paraId="7766A0A4">
          <w:pPr>
            <w:pStyle w:val="12"/>
            <w:tabs>
              <w:tab w:val="right" w:leader="dot" w:pos="8732"/>
              <w:tab w:val="clear" w:pos="8296"/>
            </w:tabs>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_Toc27806 </w:instrText>
          </w:r>
          <w:r>
            <w:rPr>
              <w:rFonts w:hint="eastAsia"/>
              <w:sz w:val="32"/>
              <w:szCs w:val="32"/>
              <w:lang w:val="en-US" w:eastAsia="zh-CN"/>
            </w:rPr>
            <w:fldChar w:fldCharType="separate"/>
          </w:r>
          <w:r>
            <w:rPr>
              <w:rFonts w:hint="eastAsia"/>
              <w:sz w:val="32"/>
              <w:szCs w:val="32"/>
              <w:lang w:val="en-US" w:eastAsia="zh-CN"/>
            </w:rPr>
            <w:t>十、其他重要事项的情况说明</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_Toc27806 \h </w:instrText>
          </w:r>
          <w:r>
            <w:rPr>
              <w:rFonts w:hint="eastAsia"/>
              <w:sz w:val="32"/>
              <w:szCs w:val="32"/>
              <w:lang w:val="en-US" w:eastAsia="zh-CN"/>
            </w:rPr>
            <w:fldChar w:fldCharType="separate"/>
          </w:r>
          <w:r>
            <w:rPr>
              <w:rFonts w:hint="eastAsia"/>
              <w:sz w:val="32"/>
              <w:szCs w:val="32"/>
              <w:lang w:val="en-US" w:eastAsia="zh-CN"/>
            </w:rPr>
            <w:t>- 10 -</w:t>
          </w:r>
          <w:r>
            <w:rPr>
              <w:rFonts w:hint="eastAsia"/>
              <w:sz w:val="32"/>
              <w:szCs w:val="32"/>
              <w:lang w:val="en-US" w:eastAsia="zh-CN"/>
            </w:rPr>
            <w:fldChar w:fldCharType="end"/>
          </w:r>
          <w:r>
            <w:rPr>
              <w:rFonts w:hint="eastAsia"/>
              <w:sz w:val="32"/>
              <w:szCs w:val="32"/>
              <w:lang w:val="en-US" w:eastAsia="zh-CN"/>
            </w:rPr>
            <w:fldChar w:fldCharType="end"/>
          </w:r>
        </w:p>
        <w:p w14:paraId="5BFF24A9">
          <w:pPr>
            <w:pStyle w:val="12"/>
            <w:tabs>
              <w:tab w:val="right" w:leader="dot" w:pos="8732"/>
              <w:tab w:val="clear" w:pos="8296"/>
            </w:tabs>
          </w:pP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HYPERLINK \l _Toc20655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部分</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名词解释</w:t>
          </w:r>
          <w:r>
            <w:rPr>
              <w:rFonts w:hint="eastAsia" w:ascii="黑体" w:hAnsi="黑体" w:eastAsia="黑体" w:cs="黑体"/>
              <w:sz w:val="32"/>
              <w:szCs w:val="32"/>
              <w:highlight w:val="none"/>
            </w:rPr>
            <w:tab/>
          </w: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PAGEREF _Toc20655 \h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- 12 -</w:t>
          </w:r>
          <w:r>
            <w:rPr>
              <w:rFonts w:hint="eastAsia" w:ascii="黑体" w:hAnsi="黑体" w:eastAsia="黑体" w:cs="黑体"/>
              <w:sz w:val="32"/>
              <w:szCs w:val="32"/>
              <w:highlight w:val="none"/>
            </w:rPr>
            <w:fldChar w:fldCharType="end"/>
          </w:r>
          <w:r>
            <w:rPr>
              <w:rFonts w:hint="eastAsia" w:ascii="黑体" w:hAnsi="黑体" w:eastAsia="黑体" w:cs="黑体"/>
              <w:sz w:val="32"/>
              <w:szCs w:val="32"/>
              <w:highlight w:val="none"/>
            </w:rPr>
            <w:fldChar w:fldCharType="end"/>
          </w:r>
        </w:p>
        <w:p w14:paraId="036949E2">
          <w:pPr>
            <w:pStyle w:val="12"/>
            <w:tabs>
              <w:tab w:val="right" w:leader="dot" w:pos="8732"/>
              <w:tab w:val="clear" w:pos="8296"/>
            </w:tabs>
          </w:pP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HYPERLINK \l _Toc17937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第四部分</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附件</w:t>
          </w:r>
          <w:r>
            <w:rPr>
              <w:rFonts w:hint="eastAsia" w:ascii="黑体" w:hAnsi="黑体" w:eastAsia="黑体" w:cs="黑体"/>
              <w:sz w:val="32"/>
              <w:szCs w:val="32"/>
              <w:highlight w:val="none"/>
            </w:rPr>
            <w:tab/>
          </w: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PAGEREF _Toc17937 \h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- 14 -</w:t>
          </w:r>
          <w:r>
            <w:rPr>
              <w:rFonts w:hint="eastAsia" w:ascii="黑体" w:hAnsi="黑体" w:eastAsia="黑体" w:cs="黑体"/>
              <w:sz w:val="32"/>
              <w:szCs w:val="32"/>
              <w:highlight w:val="none"/>
            </w:rPr>
            <w:fldChar w:fldCharType="end"/>
          </w:r>
          <w:r>
            <w:rPr>
              <w:rFonts w:hint="eastAsia" w:ascii="黑体" w:hAnsi="黑体" w:eastAsia="黑体" w:cs="黑体"/>
              <w:sz w:val="32"/>
              <w:szCs w:val="32"/>
              <w:highlight w:val="none"/>
            </w:rPr>
            <w:fldChar w:fldCharType="end"/>
          </w:r>
        </w:p>
        <w:p w14:paraId="3E699327">
          <w:pPr>
            <w:pStyle w:val="12"/>
            <w:tabs>
              <w:tab w:val="right" w:leader="dot" w:pos="8732"/>
              <w:tab w:val="clear" w:pos="8296"/>
            </w:tabs>
            <w:rPr>
              <w:rFonts w:hint="eastAsia" w:ascii="黑体" w:hAnsi="黑体" w:eastAsia="黑体" w:cs="黑体"/>
              <w:sz w:val="32"/>
              <w:szCs w:val="32"/>
              <w:highlight w:val="none"/>
            </w:rPr>
          </w:pP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HYPERLINK \l _Toc6565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第五部分 附表</w:t>
          </w:r>
          <w:r>
            <w:rPr>
              <w:rFonts w:hint="eastAsia" w:ascii="黑体" w:hAnsi="黑体" w:eastAsia="黑体" w:cs="黑体"/>
              <w:sz w:val="32"/>
              <w:szCs w:val="32"/>
              <w:highlight w:val="none"/>
            </w:rPr>
            <w:tab/>
          </w:r>
          <w:r>
            <w:rPr>
              <w:rFonts w:hint="eastAsia" w:ascii="黑体" w:hAnsi="黑体" w:eastAsia="黑体" w:cs="黑体"/>
              <w:sz w:val="32"/>
              <w:szCs w:val="32"/>
              <w:highlight w:val="none"/>
            </w:rPr>
            <w:fldChar w:fldCharType="begin"/>
          </w:r>
          <w:r>
            <w:rPr>
              <w:rFonts w:hint="eastAsia" w:ascii="黑体" w:hAnsi="黑体" w:eastAsia="黑体" w:cs="黑体"/>
              <w:sz w:val="32"/>
              <w:szCs w:val="32"/>
              <w:highlight w:val="none"/>
            </w:rPr>
            <w:instrText xml:space="preserve"> PAGEREF _Toc6565 \h </w:instrText>
          </w:r>
          <w:r>
            <w:rPr>
              <w:rFonts w:hint="eastAsia" w:ascii="黑体" w:hAnsi="黑体" w:eastAsia="黑体" w:cs="黑体"/>
              <w:sz w:val="32"/>
              <w:szCs w:val="32"/>
              <w:highlight w:val="none"/>
            </w:rPr>
            <w:fldChar w:fldCharType="separate"/>
          </w:r>
          <w:r>
            <w:rPr>
              <w:rFonts w:hint="eastAsia" w:ascii="黑体" w:hAnsi="黑体" w:eastAsia="黑体" w:cs="黑体"/>
              <w:sz w:val="32"/>
              <w:szCs w:val="32"/>
              <w:highlight w:val="none"/>
            </w:rPr>
            <w:t>- 49 -</w:t>
          </w:r>
          <w:r>
            <w:rPr>
              <w:rFonts w:hint="eastAsia" w:ascii="黑体" w:hAnsi="黑体" w:eastAsia="黑体" w:cs="黑体"/>
              <w:sz w:val="32"/>
              <w:szCs w:val="32"/>
              <w:highlight w:val="none"/>
            </w:rPr>
            <w:fldChar w:fldCharType="end"/>
          </w:r>
          <w:r>
            <w:rPr>
              <w:rFonts w:hint="eastAsia" w:ascii="黑体" w:hAnsi="黑体" w:eastAsia="黑体" w:cs="黑体"/>
              <w:sz w:val="32"/>
              <w:szCs w:val="32"/>
              <w:highlight w:val="none"/>
            </w:rPr>
            <w:fldChar w:fldCharType="end"/>
          </w:r>
        </w:p>
        <w:p w14:paraId="233DE562">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_Toc12933 </w:instrText>
          </w:r>
          <w:r>
            <w:rPr>
              <w:rFonts w:hint="eastAsia"/>
              <w:sz w:val="32"/>
              <w:szCs w:val="32"/>
              <w:lang w:val="en-US" w:eastAsia="zh-CN"/>
            </w:rPr>
            <w:fldChar w:fldCharType="separate"/>
          </w:r>
          <w:r>
            <w:rPr>
              <w:rFonts w:hint="eastAsia"/>
              <w:sz w:val="32"/>
              <w:szCs w:val="32"/>
              <w:lang w:val="en-US" w:eastAsia="zh-CN"/>
            </w:rPr>
            <w:t>一、收入支出决算总表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_Toc12933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7A79090F">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_Toc625 </w:instrText>
          </w:r>
          <w:r>
            <w:rPr>
              <w:rFonts w:hint="eastAsia"/>
              <w:sz w:val="32"/>
              <w:szCs w:val="32"/>
              <w:lang w:val="en-US" w:eastAsia="zh-CN"/>
            </w:rPr>
            <w:fldChar w:fldCharType="separate"/>
          </w:r>
          <w:r>
            <w:rPr>
              <w:rFonts w:hint="eastAsia"/>
              <w:sz w:val="32"/>
              <w:szCs w:val="32"/>
              <w:lang w:val="en-US" w:eastAsia="zh-CN"/>
            </w:rPr>
            <w:t>二、收入决算表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_Toc625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3EF8D6F1">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_Toc2037 </w:instrText>
          </w:r>
          <w:r>
            <w:rPr>
              <w:rFonts w:hint="eastAsia"/>
              <w:sz w:val="32"/>
              <w:szCs w:val="32"/>
              <w:lang w:val="en-US" w:eastAsia="zh-CN"/>
            </w:rPr>
            <w:fldChar w:fldCharType="separate"/>
          </w:r>
          <w:r>
            <w:rPr>
              <w:rFonts w:hint="eastAsia"/>
              <w:sz w:val="32"/>
              <w:szCs w:val="32"/>
              <w:lang w:val="en-US" w:eastAsia="zh-CN"/>
            </w:rPr>
            <w:t>三、支出决算表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_Toc2037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66051316">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_Toc2234 </w:instrText>
          </w:r>
          <w:r>
            <w:rPr>
              <w:rFonts w:hint="eastAsia"/>
              <w:sz w:val="32"/>
              <w:szCs w:val="32"/>
              <w:lang w:val="en-US" w:eastAsia="zh-CN"/>
            </w:rPr>
            <w:fldChar w:fldCharType="separate"/>
          </w:r>
          <w:r>
            <w:rPr>
              <w:rFonts w:hint="eastAsia"/>
              <w:sz w:val="32"/>
              <w:szCs w:val="32"/>
              <w:lang w:val="en-US" w:eastAsia="zh-CN"/>
            </w:rPr>
            <w:t>四、财政拨款收入支出决算总表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_Toc2234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71F5E482">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_Toc16108 </w:instrText>
          </w:r>
          <w:r>
            <w:rPr>
              <w:rFonts w:hint="eastAsia"/>
              <w:sz w:val="32"/>
              <w:szCs w:val="32"/>
              <w:lang w:val="en-US" w:eastAsia="zh-CN"/>
            </w:rPr>
            <w:fldChar w:fldCharType="separate"/>
          </w:r>
          <w:r>
            <w:rPr>
              <w:rFonts w:hint="eastAsia"/>
              <w:sz w:val="32"/>
              <w:szCs w:val="32"/>
              <w:lang w:val="en-US" w:eastAsia="zh-CN"/>
            </w:rPr>
            <w:t>五、财政拨款支出决算明细表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_Toc16108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348C9E15">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_Toc28041 </w:instrText>
          </w:r>
          <w:r>
            <w:rPr>
              <w:rFonts w:hint="eastAsia"/>
              <w:sz w:val="32"/>
              <w:szCs w:val="32"/>
              <w:lang w:val="en-US" w:eastAsia="zh-CN"/>
            </w:rPr>
            <w:fldChar w:fldCharType="separate"/>
          </w:r>
          <w:r>
            <w:rPr>
              <w:rFonts w:hint="eastAsia"/>
              <w:sz w:val="32"/>
              <w:szCs w:val="32"/>
              <w:lang w:val="en-US" w:eastAsia="zh-CN"/>
            </w:rPr>
            <w:t>六、一般公共预算财政拨款支出决算表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_Toc28041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07FC425D">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_Toc15879 </w:instrText>
          </w:r>
          <w:r>
            <w:rPr>
              <w:rFonts w:hint="eastAsia"/>
              <w:sz w:val="32"/>
              <w:szCs w:val="32"/>
              <w:lang w:val="en-US" w:eastAsia="zh-CN"/>
            </w:rPr>
            <w:fldChar w:fldCharType="separate"/>
          </w:r>
          <w:r>
            <w:rPr>
              <w:rFonts w:hint="eastAsia"/>
              <w:sz w:val="32"/>
              <w:szCs w:val="32"/>
              <w:lang w:val="en-US" w:eastAsia="zh-CN"/>
            </w:rPr>
            <w:t>七、一般公共预算财政拨款支出决算明细表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_Toc15879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4008052A">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_Toc1980 </w:instrText>
          </w:r>
          <w:r>
            <w:rPr>
              <w:rFonts w:hint="eastAsia"/>
              <w:sz w:val="32"/>
              <w:szCs w:val="32"/>
              <w:lang w:val="en-US" w:eastAsia="zh-CN"/>
            </w:rPr>
            <w:fldChar w:fldCharType="separate"/>
          </w:r>
          <w:r>
            <w:rPr>
              <w:rFonts w:hint="eastAsia"/>
              <w:sz w:val="32"/>
              <w:szCs w:val="32"/>
              <w:lang w:val="en-US" w:eastAsia="zh-CN"/>
            </w:rPr>
            <w:t>八、一般公共预算财政拨款基本支出决算表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_Toc1980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38B2479E">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_Toc18565 </w:instrText>
          </w:r>
          <w:r>
            <w:rPr>
              <w:rFonts w:hint="eastAsia"/>
              <w:sz w:val="32"/>
              <w:szCs w:val="32"/>
              <w:lang w:val="en-US" w:eastAsia="zh-CN"/>
            </w:rPr>
            <w:fldChar w:fldCharType="separate"/>
          </w:r>
          <w:r>
            <w:rPr>
              <w:rFonts w:hint="eastAsia"/>
              <w:sz w:val="32"/>
              <w:szCs w:val="32"/>
              <w:lang w:val="en-US" w:eastAsia="zh-CN"/>
            </w:rPr>
            <w:t>九、一般公共预算财政拨款项目支出决算表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_Toc18565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0E081AC9">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_Toc32287 </w:instrText>
          </w:r>
          <w:r>
            <w:rPr>
              <w:rFonts w:hint="eastAsia"/>
              <w:sz w:val="32"/>
              <w:szCs w:val="32"/>
              <w:lang w:val="en-US" w:eastAsia="zh-CN"/>
            </w:rPr>
            <w:fldChar w:fldCharType="separate"/>
          </w:r>
          <w:r>
            <w:rPr>
              <w:rFonts w:hint="eastAsia"/>
              <w:sz w:val="32"/>
              <w:szCs w:val="32"/>
              <w:lang w:val="en-US" w:eastAsia="zh-CN"/>
            </w:rPr>
            <w:t>十、政府性基金预算财政拨款收入支出决算表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_Toc32287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2A0FF5CE">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_Toc16478 </w:instrText>
          </w:r>
          <w:r>
            <w:rPr>
              <w:rFonts w:hint="eastAsia"/>
              <w:sz w:val="32"/>
              <w:szCs w:val="32"/>
              <w:lang w:val="en-US" w:eastAsia="zh-CN"/>
            </w:rPr>
            <w:fldChar w:fldCharType="separate"/>
          </w:r>
          <w:r>
            <w:rPr>
              <w:rFonts w:hint="eastAsia"/>
              <w:sz w:val="32"/>
              <w:szCs w:val="32"/>
              <w:lang w:val="en-US" w:eastAsia="zh-CN"/>
            </w:rPr>
            <w:t>十一、国有资本经营预算财政拨款收入支出决算表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_Toc16478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5E0FA220">
          <w:pPr>
            <w:pStyle w:val="12"/>
            <w:tabs>
              <w:tab w:val="right" w:leader="dot" w:pos="8732"/>
              <w:tab w:val="clear" w:pos="8296"/>
            </w:tabs>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_Toc12200 </w:instrText>
          </w:r>
          <w:r>
            <w:rPr>
              <w:rFonts w:hint="eastAsia"/>
              <w:sz w:val="32"/>
              <w:szCs w:val="32"/>
              <w:lang w:val="en-US" w:eastAsia="zh-CN"/>
            </w:rPr>
            <w:fldChar w:fldCharType="separate"/>
          </w:r>
          <w:r>
            <w:rPr>
              <w:rFonts w:hint="eastAsia"/>
              <w:sz w:val="32"/>
              <w:szCs w:val="32"/>
              <w:lang w:val="en-US" w:eastAsia="zh-CN"/>
            </w:rPr>
            <w:t>十二、国有资本经营预算财政拨款支出决算表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_Toc12200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5322DF7E">
          <w:pPr>
            <w:pStyle w:val="12"/>
            <w:tabs>
              <w:tab w:val="right" w:leader="dot" w:pos="8732"/>
              <w:tab w:val="clear" w:pos="8296"/>
            </w:tabs>
          </w:pPr>
          <w:r>
            <w:rPr>
              <w:rFonts w:hint="eastAsia"/>
              <w:sz w:val="32"/>
              <w:szCs w:val="32"/>
              <w:lang w:val="en-US" w:eastAsia="zh-CN"/>
            </w:rPr>
            <w:t xml:space="preserve">    </w:t>
          </w:r>
          <w:r>
            <w:rPr>
              <w:rFonts w:hint="eastAsia"/>
              <w:sz w:val="32"/>
              <w:szCs w:val="32"/>
              <w:lang w:val="en-US" w:eastAsia="zh-CN"/>
            </w:rPr>
            <w:fldChar w:fldCharType="begin"/>
          </w:r>
          <w:r>
            <w:rPr>
              <w:rFonts w:hint="eastAsia"/>
              <w:sz w:val="32"/>
              <w:szCs w:val="32"/>
              <w:lang w:val="en-US" w:eastAsia="zh-CN"/>
            </w:rPr>
            <w:instrText xml:space="preserve"> HYPERLINK \l _Toc25129 </w:instrText>
          </w:r>
          <w:r>
            <w:rPr>
              <w:rFonts w:hint="eastAsia"/>
              <w:sz w:val="32"/>
              <w:szCs w:val="32"/>
              <w:lang w:val="en-US" w:eastAsia="zh-CN"/>
            </w:rPr>
            <w:fldChar w:fldCharType="separate"/>
          </w:r>
          <w:r>
            <w:rPr>
              <w:rFonts w:hint="eastAsia"/>
              <w:sz w:val="32"/>
              <w:szCs w:val="32"/>
              <w:lang w:val="en-US" w:eastAsia="zh-CN"/>
            </w:rPr>
            <w:t>十三、财政拨款“三公”经费支出决算表</w:t>
          </w:r>
          <w:r>
            <w:rPr>
              <w:rFonts w:hint="eastAsia"/>
              <w:sz w:val="32"/>
              <w:szCs w:val="32"/>
              <w:lang w:val="en-US" w:eastAsia="zh-CN"/>
            </w:rPr>
            <w:tab/>
          </w:r>
          <w:r>
            <w:rPr>
              <w:rFonts w:hint="eastAsia"/>
              <w:sz w:val="32"/>
              <w:szCs w:val="32"/>
              <w:lang w:val="en-US" w:eastAsia="zh-CN"/>
            </w:rPr>
            <w:fldChar w:fldCharType="begin"/>
          </w:r>
          <w:r>
            <w:rPr>
              <w:rFonts w:hint="eastAsia"/>
              <w:sz w:val="32"/>
              <w:szCs w:val="32"/>
              <w:lang w:val="en-US" w:eastAsia="zh-CN"/>
            </w:rPr>
            <w:instrText xml:space="preserve"> PAGEREF _Toc25129 \h </w:instrText>
          </w:r>
          <w:r>
            <w:rPr>
              <w:rFonts w:hint="eastAsia"/>
              <w:sz w:val="32"/>
              <w:szCs w:val="32"/>
              <w:lang w:val="en-US" w:eastAsia="zh-CN"/>
            </w:rPr>
            <w:fldChar w:fldCharType="separate"/>
          </w:r>
          <w:r>
            <w:rPr>
              <w:rFonts w:hint="eastAsia"/>
              <w:sz w:val="32"/>
              <w:szCs w:val="32"/>
              <w:lang w:val="en-US" w:eastAsia="zh-CN"/>
            </w:rPr>
            <w:t>- 49 -</w:t>
          </w:r>
          <w:r>
            <w:rPr>
              <w:rFonts w:hint="eastAsia"/>
              <w:sz w:val="32"/>
              <w:szCs w:val="32"/>
              <w:lang w:val="en-US" w:eastAsia="zh-CN"/>
            </w:rPr>
            <w:fldChar w:fldCharType="end"/>
          </w:r>
          <w:r>
            <w:rPr>
              <w:rFonts w:hint="eastAsia"/>
              <w:sz w:val="32"/>
              <w:szCs w:val="32"/>
              <w:lang w:val="en-US" w:eastAsia="zh-CN"/>
            </w:rPr>
            <w:fldChar w:fldCharType="end"/>
          </w:r>
        </w:p>
        <w:p w14:paraId="49BAE633">
          <w:r>
            <w:fldChar w:fldCharType="end"/>
          </w:r>
        </w:p>
      </w:sdtContent>
    </w:sdt>
    <w:p w14:paraId="3003BBFE"/>
    <w:p w14:paraId="5B6FE2E1"/>
    <w:p w14:paraId="5C674AB3">
      <w:pPr>
        <w:pStyle w:val="3"/>
        <w:pageBreakBefore w:val="0"/>
        <w:widowControl w:val="0"/>
        <w:kinsoku/>
        <w:wordWrap/>
        <w:overflowPunct/>
        <w:topLinePunct w:val="0"/>
        <w:autoSpaceDE/>
        <w:autoSpaceDN/>
        <w:bidi w:val="0"/>
        <w:adjustRightInd/>
        <w:snapToGrid w:val="0"/>
        <w:spacing w:before="0" w:after="0" w:line="360" w:lineRule="auto"/>
        <w:jc w:val="center"/>
        <w:textAlignment w:val="auto"/>
        <w:rPr>
          <w:rFonts w:hint="eastAsia" w:ascii="Times New Roman" w:hAnsi="Times New Roman" w:eastAsia="方正小标宋简体" w:cs="方正小标宋简体"/>
          <w:b w:val="0"/>
          <w:bCs w:val="0"/>
          <w:color w:val="auto"/>
          <w:highlight w:val="none"/>
        </w:rPr>
      </w:pPr>
      <w:bookmarkStart w:id="12" w:name="_Toc24157"/>
      <w:bookmarkStart w:id="13" w:name="_Toc15396599"/>
      <w:bookmarkStart w:id="14" w:name="_Toc15377196"/>
      <w:bookmarkStart w:id="155" w:name="_GoBack"/>
      <w:bookmarkEnd w:id="155"/>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eastAsia="方正小标宋简体" w:cs="方正小标宋简体"/>
          <w:b w:val="0"/>
          <w:color w:val="auto"/>
          <w:highlight w:val="none"/>
          <w:lang w:val="en-US" w:eastAsia="zh-CN"/>
        </w:rPr>
        <w:t>单位</w:t>
      </w:r>
      <w:r>
        <w:rPr>
          <w:rStyle w:val="25"/>
          <w:rFonts w:hint="eastAsia" w:ascii="Times New Roman" w:hAnsi="Times New Roman" w:eastAsia="方正小标宋简体" w:cs="方正小标宋简体"/>
          <w:b w:val="0"/>
          <w:bCs w:val="0"/>
          <w:color w:val="auto"/>
          <w:highlight w:val="none"/>
        </w:rPr>
        <w:t>部门概况</w:t>
      </w:r>
      <w:bookmarkEnd w:id="12"/>
      <w:bookmarkEnd w:id="13"/>
      <w:bookmarkEnd w:id="14"/>
    </w:p>
    <w:p w14:paraId="5048806D">
      <w:pPr>
        <w:pageBreakBefore w:val="0"/>
        <w:widowControl w:val="0"/>
        <w:kinsoku/>
        <w:wordWrap/>
        <w:overflowPunct/>
        <w:topLinePunct w:val="0"/>
        <w:autoSpaceDE/>
        <w:autoSpaceDN/>
        <w:bidi w:val="0"/>
        <w:adjustRightInd/>
        <w:snapToGrid w:val="0"/>
        <w:spacing w:line="360" w:lineRule="auto"/>
        <w:textAlignment w:val="auto"/>
        <w:rPr>
          <w:rFonts w:hint="eastAsia"/>
        </w:rPr>
      </w:pPr>
    </w:p>
    <w:p w14:paraId="7C0D74C5">
      <w:pPr>
        <w:pStyle w:val="4"/>
        <w:pageBreakBefore w:val="0"/>
        <w:widowControl w:val="0"/>
        <w:kinsoku/>
        <w:wordWrap/>
        <w:overflowPunct/>
        <w:topLinePunct w:val="0"/>
        <w:autoSpaceDE/>
        <w:autoSpaceDN/>
        <w:bidi w:val="0"/>
        <w:adjustRightInd/>
        <w:snapToGrid w:val="0"/>
        <w:spacing w:before="0" w:after="0" w:line="360" w:lineRule="auto"/>
        <w:ind w:firstLine="632" w:firstLineChars="200"/>
        <w:textAlignment w:val="auto"/>
        <w:outlineLvl w:val="0"/>
        <w:rPr>
          <w:rFonts w:hint="eastAsia" w:ascii="Times New Roman" w:hAnsi="Times New Roman" w:eastAsia="黑体"/>
          <w:b w:val="0"/>
          <w:color w:val="auto"/>
          <w:highlight w:val="none"/>
          <w:lang w:eastAsia="zh-CN"/>
        </w:rPr>
      </w:pPr>
      <w:bookmarkStart w:id="15" w:name="_Toc15396600"/>
      <w:bookmarkStart w:id="16" w:name="_Toc15377197"/>
      <w:bookmarkStart w:id="17" w:name="_Toc3398"/>
      <w:r>
        <w:rPr>
          <w:rFonts w:hint="eastAsia" w:ascii="Times New Roman" w:hAnsi="Times New Roman" w:eastAsia="黑体"/>
          <w:b w:val="0"/>
          <w:color w:val="auto"/>
          <w:highlight w:val="none"/>
        </w:rPr>
        <w:t>一、</w:t>
      </w:r>
      <w:bookmarkEnd w:id="15"/>
      <w:bookmarkEnd w:id="16"/>
      <w:r>
        <w:rPr>
          <w:rFonts w:hint="eastAsia" w:ascii="Times New Roman" w:hAnsi="Times New Roman" w:eastAsia="黑体"/>
          <w:b w:val="0"/>
          <w:color w:val="auto"/>
          <w:highlight w:val="none"/>
          <w:lang w:val="en-US" w:eastAsia="zh-CN"/>
        </w:rPr>
        <w:t>单位</w:t>
      </w:r>
      <w:r>
        <w:rPr>
          <w:rFonts w:hint="eastAsia" w:ascii="Times New Roman" w:hAnsi="Times New Roman" w:eastAsia="黑体"/>
          <w:b w:val="0"/>
          <w:color w:val="auto"/>
          <w:highlight w:val="none"/>
          <w:lang w:eastAsia="zh-CN"/>
        </w:rPr>
        <w:t>部门职责</w:t>
      </w:r>
      <w:bookmarkEnd w:id="17"/>
    </w:p>
    <w:p w14:paraId="3D2B58A8">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遂宁市职业技术学校，是由遂宁市人民政府举办、遂宁市教育和体育局主管的全民所有制事业单位，具有独立法人资格，依法独立履行办学职责，实施中等职业技术教育。</w:t>
      </w:r>
      <w:r>
        <w:rPr>
          <w:rFonts w:hint="eastAsia" w:ascii="仿宋_GB2312" w:eastAsia="仿宋_GB2312"/>
          <w:sz w:val="32"/>
          <w:szCs w:val="32"/>
          <w:lang w:eastAsia="zh-CN"/>
        </w:rPr>
        <w:t>源于创办于1914年的四川省遂宁师范学校和开办于1980年代的遂宁市职业中学、遂宁市经济中专校、遂宁市技工学校等，已有百年办学的悠久历史。</w:t>
      </w:r>
      <w:r>
        <w:rPr>
          <w:rFonts w:hint="eastAsia" w:ascii="仿宋_GB2312" w:eastAsia="仿宋_GB2312"/>
          <w:sz w:val="32"/>
          <w:szCs w:val="32"/>
        </w:rPr>
        <w:t>学校秉承百年学府的百川文化，</w:t>
      </w:r>
    </w:p>
    <w:p w14:paraId="70C17EC6">
      <w:pPr>
        <w:pageBreakBefore w:val="0"/>
        <w:kinsoku/>
        <w:wordWrap/>
        <w:overflowPunct/>
        <w:topLinePunct w:val="0"/>
        <w:autoSpaceDE/>
        <w:autoSpaceDN/>
        <w:bidi w:val="0"/>
        <w:snapToGrid w:val="0"/>
        <w:spacing w:line="360" w:lineRule="auto"/>
        <w:ind w:firstLine="632" w:firstLineChars="200"/>
        <w:rPr>
          <w:rFonts w:hint="eastAsia"/>
          <w:lang w:eastAsia="zh-CN"/>
        </w:rPr>
      </w:pPr>
      <w:r>
        <w:rPr>
          <w:rFonts w:hint="eastAsia" w:ascii="仿宋_GB2312" w:eastAsia="仿宋_GB2312"/>
          <w:sz w:val="32"/>
          <w:szCs w:val="32"/>
        </w:rPr>
        <w:t>积百年历史之底蕴，坚持以立德树人为根本任务，以服务现代化建设、服务经济社会发展为宗旨，深化产教融合、校企合作、工学结合，坚定走质量兴校、人才强校、特色立校之路，努力把学校建设成为特色鲜明、效益良好、在市内外有引领示范作用、在省内外有影响力的现代学校。</w:t>
      </w:r>
    </w:p>
    <w:p w14:paraId="0181E969">
      <w:pPr>
        <w:pStyle w:val="4"/>
        <w:pageBreakBefore w:val="0"/>
        <w:kinsoku/>
        <w:wordWrap/>
        <w:overflowPunct/>
        <w:topLinePunct w:val="0"/>
        <w:autoSpaceDE/>
        <w:autoSpaceDN/>
        <w:bidi w:val="0"/>
        <w:snapToGrid w:val="0"/>
        <w:spacing w:before="0" w:after="0" w:line="360" w:lineRule="auto"/>
        <w:ind w:firstLine="632" w:firstLineChars="200"/>
        <w:outlineLvl w:val="0"/>
        <w:rPr>
          <w:rFonts w:hint="eastAsia" w:ascii="Times New Roman" w:hAnsi="Times New Roman" w:eastAsia="黑体"/>
          <w:b w:val="0"/>
          <w:bCs w:val="0"/>
          <w:color w:val="auto"/>
          <w:highlight w:val="none"/>
        </w:rPr>
      </w:pPr>
      <w:bookmarkStart w:id="18" w:name="_Toc15396601"/>
      <w:bookmarkStart w:id="19" w:name="_Toc17434"/>
      <w:bookmarkStart w:id="20" w:name="_Toc15377200"/>
      <w:r>
        <w:rPr>
          <w:rFonts w:hint="eastAsia" w:ascii="Times New Roman" w:hAnsi="Times New Roman" w:eastAsia="黑体"/>
          <w:b w:val="0"/>
          <w:color w:val="auto"/>
          <w:highlight w:val="none"/>
        </w:rPr>
        <w:t>二、机</w:t>
      </w:r>
      <w:r>
        <w:rPr>
          <w:rStyle w:val="40"/>
          <w:rFonts w:hint="eastAsia" w:ascii="Times New Roman" w:hAnsi="Times New Roman" w:eastAsia="黑体"/>
          <w:b w:val="0"/>
          <w:bCs w:val="0"/>
          <w:color w:val="auto"/>
          <w:highlight w:val="none"/>
        </w:rPr>
        <w:t>构设置</w:t>
      </w:r>
      <w:bookmarkEnd w:id="18"/>
      <w:bookmarkEnd w:id="19"/>
      <w:bookmarkEnd w:id="20"/>
    </w:p>
    <w:p w14:paraId="7A234674">
      <w:pPr>
        <w:pStyle w:val="4"/>
        <w:pageBreakBefore w:val="0"/>
        <w:kinsoku/>
        <w:wordWrap/>
        <w:overflowPunct/>
        <w:topLinePunct w:val="0"/>
        <w:autoSpaceDE/>
        <w:autoSpaceDN/>
        <w:bidi w:val="0"/>
        <w:snapToGrid w:val="0"/>
        <w:spacing w:before="0" w:after="0" w:line="360" w:lineRule="auto"/>
        <w:ind w:firstLine="632" w:firstLineChars="200"/>
        <w:outlineLvl w:val="9"/>
        <w:rPr>
          <w:rFonts w:hint="eastAsia" w:ascii="仿宋_GB2312" w:hAnsi="Times New Roman" w:eastAsia="仿宋_GB2312" w:cs="Times New Roman"/>
          <w:b w:val="0"/>
          <w:bCs w:val="0"/>
          <w:kern w:val="2"/>
          <w:sz w:val="32"/>
          <w:szCs w:val="32"/>
          <w:lang w:val="en-US" w:eastAsia="zh-CN" w:bidi="ar-SA"/>
        </w:rPr>
      </w:pPr>
      <w:bookmarkStart w:id="21" w:name="_Toc21375"/>
      <w:r>
        <w:rPr>
          <w:rFonts w:hint="eastAsia" w:ascii="仿宋_GB2312" w:hAnsi="Times New Roman" w:eastAsia="仿宋_GB2312" w:cs="Times New Roman"/>
          <w:b w:val="0"/>
          <w:bCs w:val="0"/>
          <w:kern w:val="2"/>
          <w:sz w:val="32"/>
          <w:szCs w:val="32"/>
          <w:lang w:val="en-US" w:eastAsia="zh-CN" w:bidi="ar-SA"/>
        </w:rPr>
        <w:t>遂宁市职业技术学校是遂宁市教育和体育局的下属二级预算单位，属于事业单位。单位编制数283人，2022年末实有在编人员228人，离休1人、退休人员125人、财政支付外聘人员28人。</w:t>
      </w:r>
      <w:bookmarkEnd w:id="21"/>
      <w:r>
        <w:rPr>
          <w:rFonts w:hint="eastAsia" w:ascii="仿宋_GB2312" w:hAnsi="Times New Roman" w:eastAsia="仿宋_GB2312" w:cs="Times New Roman"/>
          <w:b w:val="0"/>
          <w:bCs w:val="0"/>
          <w:kern w:val="2"/>
          <w:sz w:val="32"/>
          <w:szCs w:val="32"/>
          <w:lang w:val="en-US" w:eastAsia="zh-CN" w:bidi="ar-SA"/>
        </w:rPr>
        <w:t xml:space="preserve"> </w:t>
      </w:r>
    </w:p>
    <w:p w14:paraId="49B04979">
      <w:pPr>
        <w:pageBreakBefore w:val="0"/>
        <w:widowControl/>
        <w:kinsoku/>
        <w:wordWrap/>
        <w:overflowPunct/>
        <w:topLinePunct w:val="0"/>
        <w:autoSpaceDE/>
        <w:autoSpaceDN/>
        <w:bidi w:val="0"/>
        <w:snapToGrid w:val="0"/>
        <w:spacing w:line="360" w:lineRule="auto"/>
        <w:jc w:val="left"/>
        <w:rPr>
          <w:rFonts w:ascii="Times New Roman" w:hAnsi="Times New Roman" w:eastAsia="仿宋"/>
          <w:color w:val="auto"/>
          <w:kern w:val="0"/>
          <w:sz w:val="32"/>
          <w:szCs w:val="32"/>
          <w:highlight w:val="none"/>
        </w:rPr>
      </w:pPr>
      <w:r>
        <w:rPr>
          <w:rFonts w:ascii="Times New Roman" w:hAnsi="Times New Roman" w:eastAsia="仿宋"/>
          <w:color w:val="auto"/>
          <w:sz w:val="32"/>
          <w:szCs w:val="32"/>
          <w:highlight w:val="none"/>
        </w:rPr>
        <w:br w:type="page"/>
      </w:r>
    </w:p>
    <w:p w14:paraId="733C4258">
      <w:pPr>
        <w:pStyle w:val="3"/>
        <w:pageBreakBefore w:val="0"/>
        <w:kinsoku/>
        <w:wordWrap/>
        <w:overflowPunct/>
        <w:topLinePunct w:val="0"/>
        <w:autoSpaceDE/>
        <w:autoSpaceDN/>
        <w:bidi w:val="0"/>
        <w:snapToGrid w:val="0"/>
        <w:spacing w:before="0" w:after="0" w:line="360" w:lineRule="auto"/>
        <w:jc w:val="center"/>
        <w:rPr>
          <w:rFonts w:hint="eastAsia" w:ascii="Times New Roman" w:hAnsi="Times New Roman" w:eastAsia="方正小标宋简体" w:cs="方正小标宋简体"/>
          <w:b w:val="0"/>
          <w:color w:val="auto"/>
          <w:highlight w:val="none"/>
        </w:rPr>
      </w:pPr>
      <w:bookmarkStart w:id="22" w:name="_Toc15396602"/>
      <w:bookmarkStart w:id="23" w:name="_Toc10019"/>
      <w:bookmarkStart w:id="24" w:name="_Toc15377204"/>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eastAsia="方正小标宋简体" w:cs="方正小标宋简体"/>
          <w:b w:val="0"/>
          <w:color w:val="auto"/>
          <w:highlight w:val="none"/>
          <w:lang w:val="en-US" w:eastAsia="zh-CN"/>
        </w:rPr>
        <w:t>单位</w:t>
      </w:r>
      <w:r>
        <w:rPr>
          <w:rFonts w:hint="eastAsia" w:ascii="Times New Roman" w:hAnsi="Times New Roman" w:eastAsia="方正小标宋简体" w:cs="方正小标宋简体"/>
          <w:b w:val="0"/>
          <w:color w:val="auto"/>
          <w:highlight w:val="none"/>
        </w:rPr>
        <w:t>决算情况说明</w:t>
      </w:r>
      <w:bookmarkEnd w:id="22"/>
      <w:bookmarkEnd w:id="23"/>
      <w:bookmarkEnd w:id="24"/>
    </w:p>
    <w:p w14:paraId="3DF1E797">
      <w:pPr>
        <w:pageBreakBefore w:val="0"/>
        <w:kinsoku/>
        <w:wordWrap/>
        <w:overflowPunct/>
        <w:topLinePunct w:val="0"/>
        <w:autoSpaceDE/>
        <w:autoSpaceDN/>
        <w:bidi w:val="0"/>
        <w:snapToGrid w:val="0"/>
        <w:spacing w:line="360" w:lineRule="auto"/>
        <w:rPr>
          <w:rFonts w:ascii="Times New Roman" w:hAnsi="Times New Roman"/>
          <w:color w:val="auto"/>
          <w:highlight w:val="none"/>
        </w:rPr>
      </w:pPr>
    </w:p>
    <w:p w14:paraId="20381402">
      <w:pPr>
        <w:pStyle w:val="3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32" w:firstLineChars="200"/>
        <w:textAlignment w:val="auto"/>
        <w:outlineLvl w:val="0"/>
        <w:rPr>
          <w:rFonts w:hint="eastAsia" w:ascii="Times New Roman" w:hAnsi="Times New Roman" w:eastAsia="黑体"/>
          <w:b w:val="0"/>
          <w:color w:val="auto"/>
          <w:highlight w:val="none"/>
        </w:rPr>
      </w:pPr>
      <w:bookmarkStart w:id="25" w:name="_Toc15396603"/>
      <w:bookmarkStart w:id="26" w:name="_Toc15377205"/>
      <w:bookmarkStart w:id="27" w:name="_Toc12524"/>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40"/>
          <w:rFonts w:hint="eastAsia" w:ascii="Times New Roman" w:hAnsi="Times New Roman" w:eastAsia="黑体"/>
          <w:b w:val="0"/>
          <w:color w:val="auto"/>
          <w:highlight w:val="none"/>
        </w:rPr>
        <w:t>入支出决算总体情况说明</w:t>
      </w:r>
      <w:bookmarkEnd w:id="25"/>
      <w:bookmarkEnd w:id="26"/>
      <w:bookmarkEnd w:id="27"/>
    </w:p>
    <w:p w14:paraId="0CF5A298">
      <w:pPr>
        <w:pStyle w:val="3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32" w:firstLineChars="200"/>
        <w:textAlignment w:val="auto"/>
        <w:outlineLvl w:val="9"/>
        <w:rPr>
          <w:rFonts w:hint="eastAsia" w:ascii="Times New Roman" w:hAnsi="Times New Roman" w:eastAsia="仿宋_GB2312" w:cs="仿宋_GB2312"/>
          <w:color w:val="auto"/>
          <w:sz w:val="32"/>
          <w:szCs w:val="32"/>
          <w:highlight w:val="none"/>
          <w:lang w:eastAsia="zh-CN"/>
        </w:rPr>
      </w:pPr>
      <w:bookmarkStart w:id="28" w:name="_Toc3657"/>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eastAsia="仿宋_GB2312" w:cs="仿宋_GB2312"/>
          <w:color w:val="auto"/>
          <w:sz w:val="32"/>
          <w:szCs w:val="32"/>
          <w:highlight w:val="none"/>
          <w:lang w:val="en-US" w:eastAsia="zh-CN"/>
        </w:rPr>
        <w:t>8582.68</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总计各减少</w:t>
      </w:r>
      <w:r>
        <w:rPr>
          <w:rFonts w:hint="eastAsia" w:eastAsia="仿宋_GB2312" w:cs="仿宋_GB2312"/>
          <w:color w:val="auto"/>
          <w:sz w:val="32"/>
          <w:szCs w:val="32"/>
          <w:highlight w:val="none"/>
          <w:lang w:val="en-US" w:eastAsia="zh-CN"/>
        </w:rPr>
        <w:t>40.92</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0.47</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val="en-US" w:eastAsia="zh-CN"/>
        </w:rPr>
        <w:t>2024年项目支出减少。</w:t>
      </w:r>
      <w:bookmarkEnd w:id="28"/>
    </w:p>
    <w:p w14:paraId="6F44A400">
      <w:pPr>
        <w:keepNext w:val="0"/>
        <w:keepLines w:val="0"/>
        <w:pageBreakBefore w:val="0"/>
        <w:widowControl w:val="0"/>
        <w:kinsoku/>
        <w:wordWrap/>
        <w:overflowPunct/>
        <w:topLinePunct w:val="0"/>
        <w:autoSpaceDE/>
        <w:autoSpaceDN/>
        <w:bidi w:val="0"/>
        <w:adjustRightInd/>
        <w:snapToGrid w:val="0"/>
        <w:spacing w:line="360" w:lineRule="auto"/>
        <w:ind w:firstLine="412" w:firstLineChars="200"/>
        <w:textAlignment w:val="auto"/>
      </w:pPr>
      <w:r>
        <w:drawing>
          <wp:inline distT="0" distB="0" distL="114300" distR="114300">
            <wp:extent cx="4856480" cy="2781300"/>
            <wp:effectExtent l="4445" t="4445" r="15875" b="18415"/>
            <wp:docPr id="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4CB340">
      <w:pPr>
        <w:keepNext w:val="0"/>
        <w:keepLines w:val="0"/>
        <w:pageBreakBefore w:val="0"/>
        <w:widowControl w:val="0"/>
        <w:kinsoku/>
        <w:wordWrap/>
        <w:overflowPunct/>
        <w:topLinePunct w:val="0"/>
        <w:autoSpaceDE/>
        <w:autoSpaceDN/>
        <w:bidi w:val="0"/>
        <w:adjustRightInd/>
        <w:snapToGrid w:val="0"/>
        <w:spacing w:line="360" w:lineRule="auto"/>
        <w:ind w:firstLine="632"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71D15450">
      <w:pPr>
        <w:pStyle w:val="3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32" w:firstLineChars="200"/>
        <w:textAlignment w:val="auto"/>
        <w:outlineLvl w:val="0"/>
        <w:rPr>
          <w:rFonts w:hint="eastAsia" w:ascii="Times New Roman" w:hAnsi="Times New Roman" w:eastAsia="黑体"/>
          <w:color w:val="auto"/>
          <w:sz w:val="32"/>
          <w:szCs w:val="32"/>
          <w:highlight w:val="none"/>
          <w:lang w:eastAsia="zh-CN"/>
        </w:rPr>
      </w:pPr>
      <w:bookmarkStart w:id="29" w:name="_Toc15377206"/>
      <w:bookmarkStart w:id="30" w:name="_Toc24209"/>
      <w:bookmarkStart w:id="31" w:name="_Toc15396604"/>
      <w:r>
        <w:rPr>
          <w:rFonts w:hint="eastAsia" w:ascii="Times New Roman" w:hAnsi="Times New Roman" w:eastAsia="黑体"/>
          <w:color w:val="auto"/>
          <w:sz w:val="32"/>
          <w:szCs w:val="32"/>
          <w:highlight w:val="none"/>
          <w:lang w:eastAsia="zh-CN"/>
        </w:rPr>
        <w:t>二、收入决算情况说明</w:t>
      </w:r>
      <w:bookmarkEnd w:id="29"/>
      <w:bookmarkEnd w:id="30"/>
      <w:bookmarkEnd w:id="31"/>
    </w:p>
    <w:p w14:paraId="3FA08EC8">
      <w:pPr>
        <w:pStyle w:val="3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32" w:firstLineChars="200"/>
        <w:textAlignment w:val="auto"/>
        <w:outlineLvl w:val="9"/>
        <w:rPr>
          <w:rFonts w:hint="eastAsia" w:ascii="Times New Roman" w:hAnsi="Times New Roman" w:eastAsia="仿宋_GB2312" w:cs="仿宋_GB2312"/>
          <w:color w:val="auto"/>
          <w:sz w:val="32"/>
          <w:szCs w:val="32"/>
          <w:highlight w:val="none"/>
          <w:lang w:eastAsia="zh-CN"/>
        </w:rPr>
      </w:pPr>
      <w:bookmarkStart w:id="32" w:name="_Toc25103"/>
      <w:r>
        <w:rPr>
          <w:rFonts w:hint="eastAsia" w:ascii="Times New Roman" w:hAnsi="Times New Roman" w:eastAsia="仿宋_GB2312" w:cs="仿宋_GB2312"/>
          <w:color w:val="auto"/>
          <w:sz w:val="32"/>
          <w:szCs w:val="32"/>
          <w:highlight w:val="none"/>
          <w:lang w:eastAsia="zh-CN"/>
        </w:rPr>
        <w:t>2024年度本年收入合计</w:t>
      </w:r>
      <w:r>
        <w:rPr>
          <w:rFonts w:hint="eastAsia" w:eastAsia="仿宋_GB2312" w:cs="仿宋_GB2312"/>
          <w:color w:val="auto"/>
          <w:sz w:val="32"/>
          <w:szCs w:val="32"/>
          <w:highlight w:val="none"/>
          <w:lang w:val="en-US" w:eastAsia="zh-CN"/>
        </w:rPr>
        <w:t>8582.68</w:t>
      </w:r>
      <w:r>
        <w:rPr>
          <w:rFonts w:hint="eastAsia" w:ascii="Times New Roman" w:hAnsi="Times New Roman" w:eastAsia="仿宋_GB2312" w:cs="仿宋_GB2312"/>
          <w:color w:val="auto"/>
          <w:sz w:val="32"/>
          <w:szCs w:val="32"/>
          <w:highlight w:val="none"/>
          <w:lang w:eastAsia="zh-CN"/>
        </w:rPr>
        <w:t>万元，其中：一般公共预算财政拨款收入</w:t>
      </w:r>
      <w:r>
        <w:rPr>
          <w:rFonts w:hint="eastAsia" w:eastAsia="仿宋_GB2312" w:cs="仿宋_GB2312"/>
          <w:color w:val="auto"/>
          <w:sz w:val="32"/>
          <w:szCs w:val="32"/>
          <w:highlight w:val="none"/>
          <w:lang w:val="en-US" w:eastAsia="zh-CN"/>
        </w:rPr>
        <w:t>8137.11</w:t>
      </w:r>
      <w:r>
        <w:rPr>
          <w:rFonts w:hint="eastAsia" w:ascii="Times New Roman" w:hAnsi="Times New Roman" w:eastAsia="仿宋_GB2312" w:cs="仿宋_GB2312"/>
          <w:color w:val="auto"/>
          <w:sz w:val="32"/>
          <w:szCs w:val="32"/>
          <w:highlight w:val="none"/>
          <w:lang w:eastAsia="zh-CN"/>
        </w:rPr>
        <w:t>万元，占</w:t>
      </w:r>
      <w:r>
        <w:rPr>
          <w:rFonts w:hint="eastAsia" w:eastAsia="仿宋_GB2312" w:cs="仿宋_GB2312"/>
          <w:color w:val="auto"/>
          <w:sz w:val="32"/>
          <w:szCs w:val="32"/>
          <w:highlight w:val="none"/>
          <w:lang w:val="en-US" w:eastAsia="zh-CN"/>
        </w:rPr>
        <w:t>94.81</w:t>
      </w:r>
      <w:r>
        <w:rPr>
          <w:rFonts w:hint="eastAsia" w:ascii="Times New Roman" w:hAnsi="Times New Roman" w:eastAsia="仿宋_GB2312" w:cs="仿宋_GB2312"/>
          <w:color w:val="auto"/>
          <w:sz w:val="32"/>
          <w:szCs w:val="32"/>
          <w:highlight w:val="none"/>
          <w:lang w:eastAsia="zh-CN"/>
        </w:rPr>
        <w:t>%；事业收入</w:t>
      </w:r>
      <w:r>
        <w:rPr>
          <w:rFonts w:hint="eastAsia" w:eastAsia="仿宋_GB2312" w:cs="仿宋_GB2312"/>
          <w:color w:val="auto"/>
          <w:sz w:val="32"/>
          <w:szCs w:val="32"/>
          <w:highlight w:val="none"/>
          <w:lang w:val="en-US" w:eastAsia="zh-CN"/>
        </w:rPr>
        <w:t>445.49</w:t>
      </w:r>
      <w:r>
        <w:rPr>
          <w:rFonts w:hint="eastAsia" w:ascii="Times New Roman" w:hAnsi="Times New Roman" w:eastAsia="仿宋_GB2312" w:cs="仿宋_GB2312"/>
          <w:color w:val="auto"/>
          <w:sz w:val="32"/>
          <w:szCs w:val="32"/>
          <w:highlight w:val="none"/>
          <w:lang w:eastAsia="zh-CN"/>
        </w:rPr>
        <w:t>万元，占</w:t>
      </w:r>
      <w:r>
        <w:rPr>
          <w:rFonts w:hint="eastAsia" w:eastAsia="仿宋_GB2312" w:cs="仿宋_GB2312"/>
          <w:color w:val="auto"/>
          <w:sz w:val="32"/>
          <w:szCs w:val="32"/>
          <w:highlight w:val="none"/>
          <w:lang w:val="en-US" w:eastAsia="zh-CN"/>
        </w:rPr>
        <w:t>5.19</w:t>
      </w:r>
      <w:r>
        <w:rPr>
          <w:rFonts w:hint="eastAsia" w:ascii="Times New Roman" w:hAnsi="Times New Roman" w:eastAsia="仿宋_GB2312" w:cs="仿宋_GB2312"/>
          <w:color w:val="auto"/>
          <w:sz w:val="32"/>
          <w:szCs w:val="32"/>
          <w:highlight w:val="none"/>
          <w:lang w:eastAsia="zh-CN"/>
        </w:rPr>
        <w:t>%；其他收入</w:t>
      </w:r>
      <w:r>
        <w:rPr>
          <w:rFonts w:hint="eastAsia" w:eastAsia="仿宋_GB2312" w:cs="仿宋_GB2312"/>
          <w:color w:val="auto"/>
          <w:sz w:val="32"/>
          <w:szCs w:val="32"/>
          <w:highlight w:val="none"/>
          <w:lang w:val="en-US" w:eastAsia="zh-CN"/>
        </w:rPr>
        <w:t>0.07</w:t>
      </w:r>
      <w:r>
        <w:rPr>
          <w:rFonts w:hint="eastAsia" w:ascii="Times New Roman" w:hAnsi="Times New Roman" w:eastAsia="仿宋_GB2312" w:cs="仿宋_GB2312"/>
          <w:color w:val="auto"/>
          <w:sz w:val="32"/>
          <w:szCs w:val="32"/>
          <w:highlight w:val="none"/>
          <w:lang w:eastAsia="zh-CN"/>
        </w:rPr>
        <w:t>万元，占</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lang w:eastAsia="zh-CN"/>
        </w:rPr>
        <w:t>%。</w:t>
      </w:r>
      <w:bookmarkEnd w:id="32"/>
    </w:p>
    <w:p w14:paraId="0BDA520B">
      <w:pPr>
        <w:pageBreakBefore w:val="0"/>
        <w:kinsoku/>
        <w:wordWrap/>
        <w:overflowPunct/>
        <w:topLinePunct w:val="0"/>
        <w:autoSpaceDE/>
        <w:autoSpaceDN/>
        <w:bidi w:val="0"/>
        <w:snapToGrid w:val="0"/>
        <w:spacing w:line="360" w:lineRule="auto"/>
        <w:rPr>
          <w:rFonts w:hint="eastAsia" w:ascii="Times New Roman" w:hAnsi="Times New Roman" w:eastAsia="仿宋_GB2312" w:cs="仿宋_GB2312"/>
          <w:color w:val="auto"/>
          <w:sz w:val="32"/>
          <w:szCs w:val="32"/>
          <w:highlight w:val="none"/>
          <w:lang w:eastAsia="zh-CN"/>
        </w:rPr>
      </w:pPr>
      <w:r>
        <w:rPr>
          <w:rFonts w:hint="eastAsia"/>
          <w:lang w:val="en-US" w:eastAsia="zh-CN"/>
        </w:rPr>
        <w:t xml:space="preserve">    </w:t>
      </w:r>
      <w:r>
        <w:drawing>
          <wp:inline distT="0" distB="0" distL="114300" distR="114300">
            <wp:extent cx="4987290" cy="2522220"/>
            <wp:effectExtent l="4445" t="4445" r="6985" b="18415"/>
            <wp:docPr id="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D88D84">
      <w:pPr>
        <w:pageBreakBefore w:val="0"/>
        <w:kinsoku/>
        <w:wordWrap/>
        <w:overflowPunct/>
        <w:topLinePunct w:val="0"/>
        <w:autoSpaceDE/>
        <w:autoSpaceDN/>
        <w:bidi w:val="0"/>
        <w:snapToGrid w:val="0"/>
        <w:spacing w:line="360" w:lineRule="auto"/>
        <w:ind w:firstLine="1422" w:firstLineChars="4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14A83DF6">
      <w:pPr>
        <w:pStyle w:val="3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32" w:firstLineChars="200"/>
        <w:textAlignment w:val="auto"/>
        <w:outlineLvl w:val="0"/>
        <w:rPr>
          <w:rFonts w:hint="eastAsia" w:ascii="Times New Roman" w:hAnsi="Times New Roman" w:eastAsia="黑体"/>
          <w:b w:val="0"/>
          <w:color w:val="auto"/>
          <w:highlight w:val="none"/>
        </w:rPr>
      </w:pPr>
      <w:bookmarkStart w:id="33" w:name="_Toc15396605"/>
      <w:bookmarkStart w:id="34" w:name="_Toc2451"/>
      <w:bookmarkStart w:id="35" w:name="_Toc15377207"/>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40"/>
          <w:rFonts w:hint="eastAsia" w:ascii="Times New Roman" w:hAnsi="Times New Roman" w:eastAsia="黑体"/>
          <w:b w:val="0"/>
          <w:color w:val="auto"/>
          <w:highlight w:val="none"/>
        </w:rPr>
        <w:t>出决算情况说明</w:t>
      </w:r>
      <w:bookmarkEnd w:id="33"/>
      <w:bookmarkEnd w:id="34"/>
      <w:bookmarkEnd w:id="35"/>
    </w:p>
    <w:p w14:paraId="21756D4D">
      <w:pPr>
        <w:pStyle w:val="3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32" w:firstLineChars="200"/>
        <w:textAlignment w:val="auto"/>
        <w:outlineLvl w:val="9"/>
        <w:rPr>
          <w:rFonts w:hint="eastAsia" w:ascii="Times New Roman" w:hAnsi="Times New Roman" w:eastAsia="仿宋_GB2312" w:cs="仿宋_GB2312"/>
          <w:color w:val="auto"/>
          <w:sz w:val="32"/>
          <w:szCs w:val="32"/>
          <w:highlight w:val="none"/>
          <w:lang w:eastAsia="zh-CN"/>
        </w:rPr>
      </w:pPr>
      <w:bookmarkStart w:id="36" w:name="_Toc22042"/>
      <w:r>
        <w:rPr>
          <w:rFonts w:hint="eastAsia" w:ascii="Times New Roman" w:hAnsi="Times New Roman" w:eastAsia="仿宋_GB2312" w:cs="仿宋_GB2312"/>
          <w:color w:val="auto"/>
          <w:sz w:val="32"/>
          <w:szCs w:val="32"/>
          <w:highlight w:val="none"/>
          <w:lang w:eastAsia="zh-CN"/>
        </w:rPr>
        <w:t>2024年度本年支出合计</w:t>
      </w:r>
      <w:r>
        <w:rPr>
          <w:rFonts w:hint="eastAsia" w:eastAsia="仿宋_GB2312" w:cs="仿宋_GB2312"/>
          <w:color w:val="auto"/>
          <w:sz w:val="32"/>
          <w:szCs w:val="32"/>
          <w:highlight w:val="none"/>
          <w:lang w:val="en-US" w:eastAsia="zh-CN"/>
        </w:rPr>
        <w:t>8582.68</w:t>
      </w:r>
      <w:r>
        <w:rPr>
          <w:rFonts w:hint="eastAsia" w:ascii="Times New Roman" w:hAnsi="Times New Roman" w:eastAsia="仿宋_GB2312" w:cs="仿宋_GB2312"/>
          <w:color w:val="auto"/>
          <w:sz w:val="32"/>
          <w:szCs w:val="32"/>
          <w:highlight w:val="none"/>
          <w:lang w:eastAsia="zh-CN"/>
        </w:rPr>
        <w:t>万元，其中：基本支出</w:t>
      </w:r>
      <w:r>
        <w:rPr>
          <w:rFonts w:hint="eastAsia" w:eastAsia="仿宋_GB2312" w:cs="仿宋_GB2312"/>
          <w:color w:val="auto"/>
          <w:sz w:val="32"/>
          <w:szCs w:val="32"/>
          <w:highlight w:val="none"/>
          <w:lang w:val="en-US" w:eastAsia="zh-CN"/>
        </w:rPr>
        <w:t>4789.33</w:t>
      </w:r>
      <w:r>
        <w:rPr>
          <w:rFonts w:hint="eastAsia" w:ascii="Times New Roman" w:hAnsi="Times New Roman" w:eastAsia="仿宋_GB2312" w:cs="仿宋_GB2312"/>
          <w:color w:val="auto"/>
          <w:sz w:val="32"/>
          <w:szCs w:val="32"/>
          <w:highlight w:val="none"/>
          <w:lang w:eastAsia="zh-CN"/>
        </w:rPr>
        <w:t>万元，占</w:t>
      </w:r>
      <w:r>
        <w:rPr>
          <w:rFonts w:hint="eastAsia" w:eastAsia="仿宋_GB2312" w:cs="仿宋_GB2312"/>
          <w:color w:val="auto"/>
          <w:sz w:val="32"/>
          <w:szCs w:val="32"/>
          <w:highlight w:val="none"/>
          <w:lang w:val="en-US" w:eastAsia="zh-CN"/>
        </w:rPr>
        <w:t>55.8</w:t>
      </w:r>
      <w:r>
        <w:rPr>
          <w:rFonts w:hint="eastAsia" w:ascii="Times New Roman" w:hAnsi="Times New Roman" w:eastAsia="仿宋_GB2312" w:cs="仿宋_GB2312"/>
          <w:color w:val="auto"/>
          <w:sz w:val="32"/>
          <w:szCs w:val="32"/>
          <w:highlight w:val="none"/>
          <w:lang w:eastAsia="zh-CN"/>
        </w:rPr>
        <w:t>%；项目支出</w:t>
      </w:r>
      <w:r>
        <w:rPr>
          <w:rFonts w:hint="eastAsia" w:eastAsia="仿宋_GB2312" w:cs="仿宋_GB2312"/>
          <w:color w:val="auto"/>
          <w:sz w:val="32"/>
          <w:szCs w:val="32"/>
          <w:highlight w:val="none"/>
          <w:lang w:val="en-US" w:eastAsia="zh-CN"/>
        </w:rPr>
        <w:t>3793.35</w:t>
      </w:r>
      <w:r>
        <w:rPr>
          <w:rFonts w:hint="eastAsia" w:ascii="Times New Roman" w:hAnsi="Times New Roman" w:eastAsia="仿宋_GB2312" w:cs="仿宋_GB2312"/>
          <w:color w:val="auto"/>
          <w:sz w:val="32"/>
          <w:szCs w:val="32"/>
          <w:highlight w:val="none"/>
          <w:lang w:eastAsia="zh-CN"/>
        </w:rPr>
        <w:t>万元，占</w:t>
      </w:r>
      <w:r>
        <w:rPr>
          <w:rFonts w:hint="eastAsia" w:eastAsia="仿宋_GB2312" w:cs="仿宋_GB2312"/>
          <w:color w:val="auto"/>
          <w:sz w:val="32"/>
          <w:szCs w:val="32"/>
          <w:highlight w:val="none"/>
          <w:lang w:val="en-US" w:eastAsia="zh-CN"/>
        </w:rPr>
        <w:t>44.2</w:t>
      </w:r>
      <w:r>
        <w:rPr>
          <w:rFonts w:hint="eastAsia" w:ascii="Times New Roman" w:hAnsi="Times New Roman" w:eastAsia="仿宋_GB2312" w:cs="仿宋_GB2312"/>
          <w:color w:val="auto"/>
          <w:sz w:val="32"/>
          <w:szCs w:val="32"/>
          <w:highlight w:val="none"/>
          <w:lang w:eastAsia="zh-CN"/>
        </w:rPr>
        <w:t>%。</w:t>
      </w:r>
      <w:bookmarkEnd w:id="36"/>
    </w:p>
    <w:p w14:paraId="2C43C9EC">
      <w:pPr>
        <w:pageBreakBefore w:val="0"/>
        <w:kinsoku/>
        <w:wordWrap/>
        <w:overflowPunct/>
        <w:topLinePunct w:val="0"/>
        <w:autoSpaceDE/>
        <w:autoSpaceDN/>
        <w:bidi w:val="0"/>
        <w:snapToGrid w:val="0"/>
        <w:spacing w:line="360" w:lineRule="auto"/>
        <w:ind w:firstLine="515" w:firstLineChars="250"/>
        <w:rPr>
          <w:rFonts w:hint="eastAsia" w:ascii="Times New Roman" w:hAnsi="Times New Roman" w:eastAsia="仿宋_GB2312" w:cs="仿宋_GB2312"/>
          <w:color w:val="auto"/>
          <w:sz w:val="32"/>
          <w:szCs w:val="32"/>
          <w:highlight w:val="none"/>
          <w:lang w:eastAsia="zh-CN"/>
        </w:rPr>
      </w:pPr>
      <w:r>
        <w:drawing>
          <wp:inline distT="0" distB="0" distL="114300" distR="114300">
            <wp:extent cx="5031105" cy="2750820"/>
            <wp:effectExtent l="4445" t="4445" r="8890" b="18415"/>
            <wp:docPr id="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626294">
      <w:pPr>
        <w:pageBreakBefore w:val="0"/>
        <w:kinsoku/>
        <w:wordWrap/>
        <w:overflowPunct/>
        <w:topLinePunct w:val="0"/>
        <w:autoSpaceDE/>
        <w:autoSpaceDN/>
        <w:bidi w:val="0"/>
        <w:snapToGrid w:val="0"/>
        <w:spacing w:line="360" w:lineRule="auto"/>
        <w:ind w:firstLine="79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2BBF53CA">
      <w:pPr>
        <w:pageBreakBefore w:val="0"/>
        <w:kinsoku/>
        <w:wordWrap/>
        <w:overflowPunct/>
        <w:topLinePunct w:val="0"/>
        <w:autoSpaceDE/>
        <w:autoSpaceDN/>
        <w:bidi w:val="0"/>
        <w:snapToGrid w:val="0"/>
        <w:spacing w:line="360" w:lineRule="auto"/>
        <w:ind w:firstLine="632" w:firstLineChars="200"/>
        <w:outlineLvl w:val="0"/>
        <w:rPr>
          <w:rFonts w:ascii="Times New Roman" w:hAnsi="Times New Roman" w:eastAsia="黑体"/>
          <w:b w:val="0"/>
          <w:color w:val="auto"/>
          <w:highlight w:val="none"/>
        </w:rPr>
      </w:pPr>
      <w:bookmarkStart w:id="37" w:name="_Toc15396606"/>
      <w:bookmarkStart w:id="38" w:name="_Toc15377208"/>
      <w:bookmarkStart w:id="39" w:name="_Toc28145"/>
      <w:r>
        <w:rPr>
          <w:rFonts w:hint="eastAsia" w:ascii="Times New Roman" w:hAnsi="Times New Roman" w:eastAsia="黑体"/>
          <w:color w:val="auto"/>
          <w:sz w:val="32"/>
          <w:szCs w:val="32"/>
          <w:highlight w:val="none"/>
        </w:rPr>
        <w:t>四、财</w:t>
      </w:r>
      <w:r>
        <w:rPr>
          <w:rStyle w:val="40"/>
          <w:rFonts w:hint="eastAsia" w:ascii="Times New Roman" w:hAnsi="Times New Roman" w:eastAsia="黑体"/>
          <w:b w:val="0"/>
          <w:color w:val="auto"/>
          <w:highlight w:val="none"/>
        </w:rPr>
        <w:t>政拨款收入支出决算总体情况说明</w:t>
      </w:r>
      <w:bookmarkEnd w:id="37"/>
      <w:bookmarkEnd w:id="38"/>
      <w:bookmarkEnd w:id="39"/>
    </w:p>
    <w:p w14:paraId="76E5A193">
      <w:pPr>
        <w:pageBreakBefore w:val="0"/>
        <w:kinsoku/>
        <w:wordWrap/>
        <w:overflowPunct/>
        <w:topLinePunct w:val="0"/>
        <w:autoSpaceDE/>
        <w:autoSpaceDN/>
        <w:bidi w:val="0"/>
        <w:snapToGrid w:val="0"/>
        <w:spacing w:line="360" w:lineRule="auto"/>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eastAsia="仿宋_GB2312" w:cs="仿宋_GB2312"/>
          <w:color w:val="auto"/>
          <w:kern w:val="2"/>
          <w:sz w:val="32"/>
          <w:szCs w:val="32"/>
          <w:highlight w:val="none"/>
          <w:lang w:val="en-US" w:eastAsia="zh-CN" w:bidi="ar-SA"/>
        </w:rPr>
        <w:t>8137.11</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万元。与2023年度相比，财政拨款收入、支出总计各增加</w:t>
      </w:r>
      <w:r>
        <w:rPr>
          <w:rFonts w:hint="eastAsia" w:eastAsia="仿宋_GB2312" w:cs="仿宋_GB2312"/>
          <w:color w:val="auto"/>
          <w:kern w:val="2"/>
          <w:sz w:val="32"/>
          <w:szCs w:val="32"/>
          <w:highlight w:val="none"/>
          <w:lang w:val="en-US" w:eastAsia="zh-CN" w:bidi="ar-SA"/>
        </w:rPr>
        <w:t>1411.63</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20.99</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财政拨入收购一所职业学校资金。</w:t>
      </w:r>
    </w:p>
    <w:p w14:paraId="5199824E">
      <w:pPr>
        <w:pageBreakBefore w:val="0"/>
        <w:kinsoku/>
        <w:wordWrap/>
        <w:overflowPunct/>
        <w:topLinePunct w:val="0"/>
        <w:autoSpaceDE/>
        <w:autoSpaceDN/>
        <w:bidi w:val="0"/>
        <w:snapToGrid w:val="0"/>
        <w:spacing w:line="360" w:lineRule="auto"/>
        <w:rPr>
          <w:rFonts w:hint="default"/>
          <w:lang w:val="en-US" w:eastAsia="zh-CN"/>
        </w:rPr>
      </w:pPr>
      <w:r>
        <w:rPr>
          <w:rFonts w:hint="eastAsia"/>
          <w:lang w:val="en-US" w:eastAsia="zh-CN"/>
        </w:rPr>
        <w:t xml:space="preserve">   </w:t>
      </w:r>
      <w:r>
        <w:drawing>
          <wp:inline distT="0" distB="0" distL="114300" distR="114300">
            <wp:extent cx="5207000" cy="2667635"/>
            <wp:effectExtent l="4445" t="4445" r="15875" b="10160"/>
            <wp:docPr id="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9B211A">
      <w:pPr>
        <w:pageBreakBefore w:val="0"/>
        <w:kinsoku/>
        <w:wordWrap/>
        <w:overflowPunct/>
        <w:topLinePunct w:val="0"/>
        <w:autoSpaceDE/>
        <w:autoSpaceDN/>
        <w:bidi w:val="0"/>
        <w:snapToGrid w:val="0"/>
        <w:spacing w:line="360" w:lineRule="auto"/>
        <w:ind w:firstLine="632"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13754EB9">
      <w:pPr>
        <w:pageBreakBefore w:val="0"/>
        <w:kinsoku/>
        <w:wordWrap/>
        <w:overflowPunct/>
        <w:topLinePunct w:val="0"/>
        <w:autoSpaceDE/>
        <w:autoSpaceDN/>
        <w:bidi w:val="0"/>
        <w:snapToGrid w:val="0"/>
        <w:spacing w:line="360" w:lineRule="auto"/>
        <w:ind w:firstLine="632" w:firstLineChars="200"/>
        <w:outlineLvl w:val="0"/>
        <w:rPr>
          <w:rFonts w:ascii="Times New Roman" w:hAnsi="Times New Roman" w:eastAsia="黑体"/>
          <w:b w:val="0"/>
          <w:color w:val="auto"/>
          <w:highlight w:val="none"/>
        </w:rPr>
      </w:pPr>
      <w:bookmarkStart w:id="40" w:name="_Toc15377209"/>
      <w:bookmarkStart w:id="41" w:name="_Toc15396607"/>
      <w:bookmarkStart w:id="42" w:name="_Toc1973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40"/>
          <w:rFonts w:hint="eastAsia" w:ascii="Times New Roman" w:hAnsi="Times New Roman" w:eastAsia="黑体"/>
          <w:b w:val="0"/>
          <w:color w:val="auto"/>
          <w:highlight w:val="none"/>
        </w:rPr>
        <w:t>般公共预算财政拨款支出决算情况说明</w:t>
      </w:r>
      <w:bookmarkEnd w:id="40"/>
      <w:bookmarkEnd w:id="41"/>
      <w:bookmarkEnd w:id="42"/>
    </w:p>
    <w:p w14:paraId="5984D8F9">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43" w:name="_Toc5513"/>
      <w:bookmarkStart w:id="44"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43"/>
      <w:bookmarkEnd w:id="44"/>
    </w:p>
    <w:p w14:paraId="66380F05">
      <w:pPr>
        <w:pageBreakBefore w:val="0"/>
        <w:kinsoku/>
        <w:wordWrap/>
        <w:overflowPunct/>
        <w:topLinePunct w:val="0"/>
        <w:autoSpaceDE/>
        <w:autoSpaceDN/>
        <w:bidi w:val="0"/>
        <w:snapToGrid w:val="0"/>
        <w:spacing w:line="360" w:lineRule="auto"/>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eastAsia="仿宋_GB2312" w:cs="仿宋_GB2312"/>
          <w:color w:val="auto"/>
          <w:kern w:val="2"/>
          <w:sz w:val="32"/>
          <w:szCs w:val="32"/>
          <w:highlight w:val="none"/>
          <w:lang w:val="en-US" w:eastAsia="zh-CN" w:bidi="ar-SA"/>
        </w:rPr>
        <w:t>8137.11</w:t>
      </w:r>
      <w:r>
        <w:rPr>
          <w:rFonts w:hint="eastAsia" w:ascii="Times New Roman" w:hAnsi="Times New Roman" w:eastAsia="仿宋_GB2312" w:cs="仿宋_GB2312"/>
          <w:color w:val="auto"/>
          <w:kern w:val="2"/>
          <w:sz w:val="32"/>
          <w:szCs w:val="32"/>
          <w:highlight w:val="none"/>
          <w:lang w:val="en-US" w:eastAsia="zh-CN" w:bidi="ar-SA"/>
        </w:rPr>
        <w:t>万元，占本年支出合计的</w:t>
      </w:r>
      <w:r>
        <w:rPr>
          <w:rFonts w:hint="eastAsia" w:eastAsia="仿宋_GB2312" w:cs="仿宋_GB2312"/>
          <w:color w:val="auto"/>
          <w:kern w:val="2"/>
          <w:sz w:val="32"/>
          <w:szCs w:val="32"/>
          <w:highlight w:val="none"/>
          <w:lang w:val="en-US" w:eastAsia="zh-CN" w:bidi="ar-SA"/>
        </w:rPr>
        <w:t>94.81</w:t>
      </w:r>
      <w:r>
        <w:rPr>
          <w:rFonts w:hint="eastAsia" w:ascii="Times New Roman" w:hAnsi="Times New Roman" w:eastAsia="仿宋_GB2312" w:cs="仿宋_GB2312"/>
          <w:color w:val="auto"/>
          <w:kern w:val="2"/>
          <w:sz w:val="32"/>
          <w:szCs w:val="32"/>
          <w:highlight w:val="none"/>
          <w:lang w:val="en-US" w:eastAsia="zh-CN" w:bidi="ar-SA"/>
        </w:rPr>
        <w:t>%。与2023年度相比，一般公共预算财政拨款支出增加</w:t>
      </w:r>
      <w:r>
        <w:rPr>
          <w:rFonts w:hint="eastAsia" w:eastAsia="仿宋_GB2312" w:cs="仿宋_GB2312"/>
          <w:color w:val="auto"/>
          <w:kern w:val="2"/>
          <w:sz w:val="32"/>
          <w:szCs w:val="32"/>
          <w:highlight w:val="none"/>
          <w:lang w:val="en-US" w:eastAsia="zh-CN" w:bidi="ar-SA"/>
        </w:rPr>
        <w:t>1411.63</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20.99</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财政拨入收购一所职业学校资金。</w:t>
      </w:r>
    </w:p>
    <w:p w14:paraId="70B32CAC">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仿宋_GB2312"/>
          <w:color w:val="auto"/>
          <w:kern w:val="2"/>
          <w:sz w:val="32"/>
          <w:szCs w:val="32"/>
          <w:highlight w:val="none"/>
          <w:lang w:val="en-US" w:eastAsia="zh-CN" w:bidi="ar-SA"/>
        </w:rPr>
      </w:pPr>
      <w:r>
        <w:drawing>
          <wp:inline distT="0" distB="0" distL="114300" distR="114300">
            <wp:extent cx="5275580" cy="1883410"/>
            <wp:effectExtent l="5080" t="4445" r="7620" b="17145"/>
            <wp:docPr id="1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7172658C">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45" w:name="_Toc15377211"/>
      <w:bookmarkStart w:id="46" w:name="_Toc10865"/>
      <w:r>
        <w:rPr>
          <w:rFonts w:hint="eastAsia" w:ascii="Times New Roman" w:hAnsi="Times New Roman" w:eastAsia="楷体_GB2312" w:cs="楷体_GB2312"/>
          <w:b/>
          <w:color w:val="auto"/>
          <w:sz w:val="32"/>
          <w:szCs w:val="32"/>
          <w:highlight w:val="none"/>
        </w:rPr>
        <w:t>（二）一般公共预算财政拨款支出决算结构情况</w:t>
      </w:r>
      <w:bookmarkEnd w:id="45"/>
      <w:bookmarkEnd w:id="46"/>
    </w:p>
    <w:p w14:paraId="2929FD35">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eastAsia="仿宋_GB2312" w:cs="仿宋_GB2312"/>
          <w:color w:val="auto"/>
          <w:kern w:val="2"/>
          <w:sz w:val="32"/>
          <w:szCs w:val="32"/>
          <w:highlight w:val="none"/>
          <w:lang w:val="en-US" w:eastAsia="zh-CN" w:bidi="ar-SA"/>
        </w:rPr>
        <w:t>8137.11</w:t>
      </w:r>
      <w:r>
        <w:rPr>
          <w:rFonts w:hint="eastAsia" w:ascii="Times New Roman" w:hAnsi="Times New Roman" w:eastAsia="仿宋_GB2312" w:cs="仿宋_GB2312"/>
          <w:color w:val="auto"/>
          <w:kern w:val="2"/>
          <w:sz w:val="32"/>
          <w:szCs w:val="32"/>
          <w:highlight w:val="none"/>
          <w:lang w:val="en-US" w:eastAsia="zh-CN" w:bidi="ar-SA"/>
        </w:rPr>
        <w:t>万元，主要用于以下方面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教育支出</w:t>
      </w:r>
      <w:r>
        <w:rPr>
          <w:rFonts w:hint="eastAsia" w:eastAsia="仿宋_GB2312" w:cs="仿宋_GB2312"/>
          <w:color w:val="auto"/>
          <w:kern w:val="2"/>
          <w:sz w:val="32"/>
          <w:szCs w:val="32"/>
          <w:highlight w:val="none"/>
          <w:lang w:val="en-US" w:eastAsia="zh-CN" w:bidi="ar-SA"/>
        </w:rPr>
        <w:t>7050.61</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86.64</w:t>
      </w:r>
      <w:r>
        <w:rPr>
          <w:rFonts w:hint="eastAsia" w:ascii="Times New Roman" w:hAnsi="Times New Roman" w:eastAsia="仿宋_GB2312" w:cs="仿宋_GB2312"/>
          <w:color w:val="auto"/>
          <w:kern w:val="2"/>
          <w:sz w:val="32"/>
          <w:szCs w:val="32"/>
          <w:highlight w:val="none"/>
          <w:lang w:val="en-US" w:eastAsia="zh-CN" w:bidi="ar-SA"/>
        </w:rPr>
        <w:t>%；社会保障和就业支出</w:t>
      </w:r>
      <w:r>
        <w:rPr>
          <w:rFonts w:hint="eastAsia" w:eastAsia="仿宋_GB2312" w:cs="仿宋_GB2312"/>
          <w:color w:val="auto"/>
          <w:kern w:val="2"/>
          <w:sz w:val="32"/>
          <w:szCs w:val="32"/>
          <w:highlight w:val="none"/>
          <w:lang w:val="en-US" w:eastAsia="zh-CN" w:bidi="ar-SA"/>
        </w:rPr>
        <w:t>553.88</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6.81</w:t>
      </w:r>
      <w:r>
        <w:rPr>
          <w:rFonts w:hint="eastAsia" w:ascii="Times New Roman" w:hAnsi="Times New Roman" w:eastAsia="仿宋_GB2312" w:cs="仿宋_GB2312"/>
          <w:color w:val="auto"/>
          <w:kern w:val="2"/>
          <w:sz w:val="32"/>
          <w:szCs w:val="32"/>
          <w:highlight w:val="none"/>
          <w:lang w:val="en-US" w:eastAsia="zh-CN" w:bidi="ar-SA"/>
        </w:rPr>
        <w:t>%；卫生健康支出</w:t>
      </w:r>
      <w:r>
        <w:rPr>
          <w:rFonts w:hint="eastAsia" w:eastAsia="仿宋_GB2312" w:cs="仿宋_GB2312"/>
          <w:color w:val="auto"/>
          <w:kern w:val="2"/>
          <w:sz w:val="32"/>
          <w:szCs w:val="32"/>
          <w:highlight w:val="none"/>
          <w:lang w:val="en-US" w:eastAsia="zh-CN" w:bidi="ar-SA"/>
        </w:rPr>
        <w:t>205.65</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2.53</w:t>
      </w:r>
      <w:r>
        <w:rPr>
          <w:rFonts w:hint="eastAsia" w:ascii="Times New Roman" w:hAnsi="Times New Roman" w:eastAsia="仿宋_GB2312" w:cs="仿宋_GB2312"/>
          <w:color w:val="auto"/>
          <w:kern w:val="2"/>
          <w:sz w:val="32"/>
          <w:szCs w:val="32"/>
          <w:highlight w:val="none"/>
          <w:lang w:val="en-US" w:eastAsia="zh-CN" w:bidi="ar-SA"/>
        </w:rPr>
        <w:t>%；住房保障支出</w:t>
      </w:r>
      <w:r>
        <w:rPr>
          <w:rFonts w:hint="eastAsia" w:eastAsia="仿宋_GB2312" w:cs="仿宋_GB2312"/>
          <w:color w:val="auto"/>
          <w:kern w:val="2"/>
          <w:sz w:val="32"/>
          <w:szCs w:val="32"/>
          <w:highlight w:val="none"/>
          <w:lang w:val="en-US" w:eastAsia="zh-CN" w:bidi="ar-SA"/>
        </w:rPr>
        <w:t>326.97</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4.02</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p>
    <w:p w14:paraId="44E66F09">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rPr>
          <w:rFonts w:hint="eastAsia" w:ascii="Times New Roman" w:hAnsi="Times New Roman" w:eastAsia="仿宋_GB2312" w:cs="仿宋_GB2312"/>
          <w:color w:val="auto"/>
          <w:kern w:val="2"/>
          <w:sz w:val="32"/>
          <w:szCs w:val="32"/>
          <w:highlight w:val="none"/>
          <w:lang w:val="en-US" w:eastAsia="zh-CN" w:bidi="ar-SA"/>
        </w:rPr>
      </w:pPr>
      <w:r>
        <w:drawing>
          <wp:inline distT="0" distB="0" distL="114300" distR="114300">
            <wp:extent cx="4826000" cy="2743200"/>
            <wp:effectExtent l="4445" t="4445" r="15875" b="10795"/>
            <wp:docPr id="12"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9F9F7A">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41B5C623">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47" w:name="_Toc15377212"/>
      <w:bookmarkStart w:id="48" w:name="_Toc315"/>
      <w:r>
        <w:rPr>
          <w:rFonts w:hint="eastAsia" w:ascii="Times New Roman" w:hAnsi="Times New Roman" w:eastAsia="楷体_GB2312" w:cs="楷体_GB2312"/>
          <w:b/>
          <w:color w:val="auto"/>
          <w:sz w:val="32"/>
          <w:szCs w:val="32"/>
          <w:highlight w:val="none"/>
        </w:rPr>
        <w:t>（三）一般公共预算财政拨款支出决算具体情况</w:t>
      </w:r>
      <w:bookmarkEnd w:id="47"/>
      <w:bookmarkEnd w:id="48"/>
    </w:p>
    <w:p w14:paraId="42428458">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bookmarkStart w:id="49" w:name="_Toc15377213"/>
      <w:bookmarkStart w:id="50" w:name="_Toc15378460"/>
      <w:bookmarkStart w:id="51" w:name="_Toc15377444"/>
      <w:r>
        <w:rPr>
          <w:rFonts w:hint="eastAsia" w:ascii="Times New Roman" w:hAnsi="Times New Roman" w:eastAsia="仿宋_GB2312" w:cs="仿宋_GB2312"/>
          <w:color w:val="auto"/>
          <w:kern w:val="2"/>
          <w:sz w:val="32"/>
          <w:szCs w:val="32"/>
          <w:highlight w:val="none"/>
          <w:lang w:val="en-US" w:eastAsia="zh-CN" w:bidi="ar-SA"/>
        </w:rPr>
        <w:t>2024年度一般公共预算支出决算数为</w:t>
      </w:r>
      <w:r>
        <w:rPr>
          <w:rFonts w:hint="eastAsia" w:eastAsia="仿宋_GB2312" w:cs="仿宋_GB2312"/>
          <w:color w:val="auto"/>
          <w:kern w:val="2"/>
          <w:sz w:val="32"/>
          <w:szCs w:val="32"/>
          <w:highlight w:val="none"/>
          <w:lang w:val="en-US" w:eastAsia="zh-CN" w:bidi="ar-SA"/>
        </w:rPr>
        <w:t>8137.11万元</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79.66</w:t>
      </w:r>
      <w:r>
        <w:rPr>
          <w:rFonts w:hint="eastAsia" w:ascii="Times New Roman" w:hAnsi="Times New Roman" w:eastAsia="仿宋_GB2312" w:cs="仿宋_GB2312"/>
          <w:color w:val="auto"/>
          <w:kern w:val="2"/>
          <w:sz w:val="32"/>
          <w:szCs w:val="32"/>
          <w:highlight w:val="none"/>
          <w:lang w:val="en-US" w:eastAsia="zh-CN" w:bidi="ar-SA"/>
        </w:rPr>
        <w:t>%。其中：</w:t>
      </w:r>
      <w:bookmarkEnd w:id="49"/>
      <w:bookmarkEnd w:id="50"/>
      <w:bookmarkEnd w:id="51"/>
    </w:p>
    <w:p w14:paraId="6A42A786">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.教育（类）</w:t>
      </w:r>
      <w:r>
        <w:rPr>
          <w:rFonts w:hint="eastAsia" w:eastAsia="仿宋_GB2312" w:cs="仿宋_GB2312"/>
          <w:color w:val="auto"/>
          <w:kern w:val="2"/>
          <w:sz w:val="32"/>
          <w:szCs w:val="32"/>
          <w:highlight w:val="none"/>
          <w:lang w:val="en-US" w:eastAsia="zh-CN" w:bidi="ar-SA"/>
        </w:rPr>
        <w:t>205教育</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7050.61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77.28</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；其中：中等职业教育2050302支出6055.61万元，完成预算74.50%、中等职业学校教学设施2050905支出995.00万元，完成预算100%。</w:t>
      </w:r>
      <w:r>
        <w:rPr>
          <w:rFonts w:hint="eastAsia" w:ascii="Times New Roman" w:hAnsi="Times New Roman" w:eastAsia="仿宋_GB2312" w:cs="仿宋_GB2312"/>
          <w:color w:val="auto"/>
          <w:kern w:val="2"/>
          <w:sz w:val="32"/>
          <w:szCs w:val="32"/>
          <w:highlight w:val="none"/>
          <w:lang w:val="en-US" w:eastAsia="zh-CN" w:bidi="ar-SA"/>
        </w:rPr>
        <w:t>决算数小于预算数的主要原因是</w:t>
      </w:r>
      <w:r>
        <w:rPr>
          <w:rFonts w:hint="eastAsia" w:eastAsia="仿宋_GB2312" w:cs="仿宋_GB2312"/>
          <w:color w:val="auto"/>
          <w:kern w:val="2"/>
          <w:sz w:val="32"/>
          <w:szCs w:val="32"/>
          <w:highlight w:val="none"/>
          <w:lang w:val="en-US" w:eastAsia="zh-CN" w:bidi="ar-SA"/>
        </w:rPr>
        <w:t>财政拨入项目资金较晚，项目处于实施过程中未付款。</w:t>
      </w:r>
    </w:p>
    <w:p w14:paraId="490DB5D7">
      <w:pPr>
        <w:pageBreakBefore w:val="0"/>
        <w:kinsoku/>
        <w:wordWrap/>
        <w:overflowPunct/>
        <w:topLinePunct w:val="0"/>
        <w:autoSpaceDE/>
        <w:autoSpaceDN/>
        <w:bidi w:val="0"/>
        <w:snapToGrid w:val="0"/>
        <w:spacing w:line="360" w:lineRule="auto"/>
        <w:ind w:firstLine="640"/>
        <w:rPr>
          <w:rFonts w:hint="eastAsia" w:ascii="仿宋_GB2312" w:eastAsia="仿宋_GB2312"/>
          <w:sz w:val="32"/>
          <w:szCs w:val="32"/>
          <w:lang w:eastAsia="zh-CN"/>
        </w:rPr>
      </w:pP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.社会保障和就业</w:t>
      </w:r>
      <w:r>
        <w:rPr>
          <w:rFonts w:hint="eastAsia" w:ascii="仿宋_GB2312" w:eastAsia="仿宋_GB2312"/>
          <w:sz w:val="32"/>
          <w:szCs w:val="32"/>
        </w:rPr>
        <w:t>208支出</w:t>
      </w:r>
      <w:r>
        <w:rPr>
          <w:rFonts w:hint="eastAsia" w:ascii="仿宋_GB2312" w:eastAsia="仿宋_GB2312"/>
          <w:sz w:val="32"/>
          <w:szCs w:val="32"/>
          <w:lang w:val="en-US" w:eastAsia="zh-CN"/>
        </w:rPr>
        <w:t>决算为540.08</w:t>
      </w:r>
      <w:r>
        <w:rPr>
          <w:rFonts w:hint="eastAsia" w:ascii="仿宋_GB2312" w:eastAsia="仿宋_GB2312"/>
          <w:sz w:val="32"/>
          <w:szCs w:val="32"/>
        </w:rPr>
        <w:t>万元，其中：</w:t>
      </w:r>
      <w:r>
        <w:rPr>
          <w:rFonts w:hint="eastAsia" w:ascii="仿宋_GB2312" w:eastAsia="仿宋_GB2312"/>
          <w:sz w:val="32"/>
          <w:szCs w:val="32"/>
          <w:lang w:val="en-US" w:eastAsia="zh-CN"/>
        </w:rPr>
        <w:t>2080501行政单位离退休支出1.56万元、</w:t>
      </w:r>
      <w:r>
        <w:rPr>
          <w:rFonts w:hint="eastAsia" w:ascii="仿宋_GB2312" w:eastAsia="仿宋_GB2312"/>
          <w:sz w:val="32"/>
          <w:szCs w:val="32"/>
        </w:rPr>
        <w:t>2080502事业单位离退休</w:t>
      </w:r>
      <w:r>
        <w:rPr>
          <w:rFonts w:hint="eastAsia" w:ascii="仿宋_GB2312" w:eastAsia="仿宋_GB2312"/>
          <w:sz w:val="32"/>
          <w:szCs w:val="32"/>
          <w:lang w:eastAsia="zh-CN"/>
        </w:rPr>
        <w:t>支出支出决算</w:t>
      </w:r>
      <w:r>
        <w:rPr>
          <w:rFonts w:hint="eastAsia" w:ascii="仿宋_GB2312" w:eastAsia="仿宋_GB2312"/>
          <w:sz w:val="32"/>
          <w:szCs w:val="32"/>
          <w:lang w:val="en-US" w:eastAsia="zh-CN"/>
        </w:rPr>
        <w:t>为120.26</w:t>
      </w:r>
      <w:r>
        <w:rPr>
          <w:rFonts w:hint="eastAsia" w:ascii="仿宋_GB2312" w:eastAsia="仿宋_GB2312"/>
          <w:sz w:val="32"/>
          <w:szCs w:val="32"/>
        </w:rPr>
        <w:t>万元、2080505</w:t>
      </w:r>
      <w:r>
        <w:rPr>
          <w:rFonts w:hint="eastAsia" w:ascii="仿宋_GB2312" w:eastAsia="仿宋_GB2312"/>
          <w:sz w:val="32"/>
          <w:szCs w:val="32"/>
          <w:lang w:eastAsia="zh-CN"/>
        </w:rPr>
        <w:t xml:space="preserve"> 机关事业单位基本养老保险缴费支出支出决算</w:t>
      </w:r>
      <w:r>
        <w:rPr>
          <w:rFonts w:hint="eastAsia" w:ascii="仿宋_GB2312" w:eastAsia="仿宋_GB2312"/>
          <w:sz w:val="32"/>
          <w:szCs w:val="32"/>
          <w:lang w:val="en-US" w:eastAsia="zh-CN"/>
        </w:rPr>
        <w:t>为398.41</w:t>
      </w:r>
      <w:r>
        <w:rPr>
          <w:rFonts w:hint="eastAsia" w:ascii="仿宋_GB2312" w:eastAsia="仿宋_GB2312"/>
          <w:sz w:val="32"/>
          <w:szCs w:val="32"/>
          <w:lang w:eastAsia="zh-CN"/>
        </w:rPr>
        <w:t>万元、</w:t>
      </w:r>
      <w:r>
        <w:rPr>
          <w:rFonts w:hint="eastAsia" w:ascii="仿宋_GB2312" w:eastAsia="仿宋_GB2312"/>
          <w:sz w:val="32"/>
          <w:szCs w:val="32"/>
          <w:lang w:val="en-US" w:eastAsia="zh-CN"/>
        </w:rPr>
        <w:t>2080801死亡抚恤</w:t>
      </w:r>
      <w:r>
        <w:rPr>
          <w:rFonts w:hint="eastAsia" w:ascii="仿宋_GB2312" w:eastAsia="仿宋_GB2312"/>
          <w:sz w:val="32"/>
          <w:szCs w:val="32"/>
          <w:lang w:eastAsia="zh-CN"/>
        </w:rPr>
        <w:t>支出支出决算</w:t>
      </w:r>
      <w:r>
        <w:rPr>
          <w:rFonts w:hint="eastAsia" w:ascii="仿宋_GB2312" w:eastAsia="仿宋_GB2312"/>
          <w:sz w:val="32"/>
          <w:szCs w:val="32"/>
          <w:lang w:val="en-US" w:eastAsia="zh-CN"/>
        </w:rPr>
        <w:t>为33.66万元、</w:t>
      </w:r>
      <w:r>
        <w:rPr>
          <w:rFonts w:hint="eastAsia" w:ascii="仿宋_GB2312" w:eastAsia="仿宋_GB2312"/>
          <w:sz w:val="32"/>
          <w:szCs w:val="32"/>
          <w:lang w:eastAsia="zh-CN"/>
        </w:rPr>
        <w:t>完成预算</w:t>
      </w:r>
      <w:r>
        <w:rPr>
          <w:rFonts w:hint="eastAsia" w:ascii="仿宋_GB2312" w:eastAsia="仿宋_GB2312"/>
          <w:sz w:val="32"/>
          <w:szCs w:val="32"/>
        </w:rPr>
        <w:t>100</w:t>
      </w:r>
      <w:r>
        <w:rPr>
          <w:rFonts w:hint="eastAsia" w:ascii="仿宋_GB2312" w:eastAsia="仿宋_GB2312"/>
          <w:sz w:val="32"/>
          <w:szCs w:val="32"/>
          <w:lang w:eastAsia="zh-CN"/>
        </w:rPr>
        <w:t>%，决算数等于预算数。</w:t>
      </w:r>
    </w:p>
    <w:p w14:paraId="1307D79E">
      <w:pPr>
        <w:pageBreakBefore w:val="0"/>
        <w:kinsoku/>
        <w:wordWrap/>
        <w:overflowPunct/>
        <w:topLinePunct w:val="0"/>
        <w:autoSpaceDE/>
        <w:autoSpaceDN/>
        <w:bidi w:val="0"/>
        <w:snapToGrid w:val="0"/>
        <w:spacing w:line="360" w:lineRule="auto"/>
        <w:ind w:firstLine="640"/>
        <w:rPr>
          <w:rFonts w:hint="eastAsia" w:ascii="仿宋_GB2312" w:eastAsia="仿宋_GB2312"/>
          <w:sz w:val="32"/>
          <w:szCs w:val="32"/>
        </w:rPr>
      </w:pP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.卫生健康（类）</w:t>
      </w:r>
      <w:r>
        <w:rPr>
          <w:rFonts w:hint="eastAsia" w:ascii="仿宋_GB2312" w:eastAsia="仿宋_GB2312"/>
          <w:sz w:val="32"/>
          <w:szCs w:val="32"/>
          <w:lang w:val="en-US" w:eastAsia="zh-CN"/>
        </w:rPr>
        <w:t>210支出决算数205.65万元，其中：</w:t>
      </w:r>
      <w:r>
        <w:rPr>
          <w:rFonts w:hint="eastAsia" w:ascii="仿宋_GB2312" w:eastAsia="仿宋_GB2312"/>
          <w:sz w:val="32"/>
          <w:szCs w:val="32"/>
        </w:rPr>
        <w:t>2101102事业单位医疗支出决算为</w:t>
      </w:r>
      <w:r>
        <w:rPr>
          <w:rFonts w:hint="eastAsia" w:ascii="仿宋_GB2312" w:eastAsia="仿宋_GB2312"/>
          <w:sz w:val="32"/>
          <w:szCs w:val="32"/>
          <w:lang w:val="en-US" w:eastAsia="zh-CN"/>
        </w:rPr>
        <w:t>200.29</w:t>
      </w:r>
      <w:r>
        <w:rPr>
          <w:rFonts w:hint="eastAsia" w:ascii="仿宋_GB2312" w:eastAsia="仿宋_GB2312"/>
          <w:sz w:val="32"/>
          <w:szCs w:val="32"/>
        </w:rPr>
        <w:t>万元</w:t>
      </w:r>
      <w:r>
        <w:rPr>
          <w:rFonts w:hint="eastAsia" w:ascii="仿宋_GB2312" w:eastAsia="仿宋_GB2312"/>
          <w:sz w:val="32"/>
          <w:szCs w:val="32"/>
          <w:lang w:eastAsia="zh-CN"/>
        </w:rPr>
        <w:t>、</w:t>
      </w:r>
      <w:r>
        <w:rPr>
          <w:rFonts w:hint="eastAsia" w:ascii="仿宋_GB2312" w:eastAsia="仿宋_GB2312"/>
          <w:sz w:val="32"/>
          <w:szCs w:val="32"/>
          <w:lang w:val="en-US" w:eastAsia="zh-CN"/>
        </w:rPr>
        <w:t>2109999其他卫生健康支出</w:t>
      </w:r>
      <w:r>
        <w:rPr>
          <w:rFonts w:hint="eastAsia" w:ascii="仿宋_GB2312" w:eastAsia="仿宋_GB2312"/>
          <w:sz w:val="32"/>
          <w:szCs w:val="32"/>
          <w:lang w:eastAsia="zh-CN"/>
        </w:rPr>
        <w:t>决算</w:t>
      </w:r>
      <w:r>
        <w:rPr>
          <w:rFonts w:hint="eastAsia" w:ascii="仿宋_GB2312" w:eastAsia="仿宋_GB2312"/>
          <w:sz w:val="32"/>
          <w:szCs w:val="32"/>
          <w:lang w:val="en-US" w:eastAsia="zh-CN"/>
        </w:rPr>
        <w:t>为5.36万元，</w:t>
      </w:r>
      <w:r>
        <w:rPr>
          <w:rFonts w:hint="eastAsia" w:ascii="仿宋_GB2312" w:eastAsia="仿宋_GB2312"/>
          <w:sz w:val="32"/>
          <w:szCs w:val="32"/>
        </w:rPr>
        <w:t>完成预算100%等于预算数。</w:t>
      </w:r>
    </w:p>
    <w:p w14:paraId="247543D4">
      <w:pPr>
        <w:pageBreakBefore w:val="0"/>
        <w:kinsoku/>
        <w:wordWrap/>
        <w:overflowPunct/>
        <w:topLinePunct w:val="0"/>
        <w:autoSpaceDE/>
        <w:autoSpaceDN/>
        <w:bidi w:val="0"/>
        <w:snapToGrid w:val="0"/>
        <w:spacing w:line="360" w:lineRule="auto"/>
        <w:ind w:firstLine="632" w:firstLineChars="200"/>
        <w:outlineLvl w:val="9"/>
        <w:rPr>
          <w:rFonts w:hint="eastAsia" w:ascii="Times New Roman" w:hAnsi="Times New Roman" w:eastAsia="仿宋_GB2312" w:cs="仿宋_GB2312"/>
          <w:b/>
          <w:bCs/>
          <w:color w:val="auto"/>
          <w:kern w:val="2"/>
          <w:sz w:val="32"/>
          <w:szCs w:val="32"/>
          <w:highlight w:val="none"/>
          <w:lang w:val="en-US" w:eastAsia="zh-CN" w:bidi="ar-SA"/>
        </w:rPr>
      </w:pPr>
      <w:r>
        <w:rPr>
          <w:rFonts w:hint="eastAsia" w:ascii="仿宋_GB2312" w:eastAsia="仿宋_GB2312"/>
          <w:sz w:val="32"/>
          <w:szCs w:val="32"/>
        </w:rPr>
        <w:t>4.住房保障支出2210201 住房公积金:支出决算为</w:t>
      </w:r>
      <w:r>
        <w:rPr>
          <w:rFonts w:hint="eastAsia" w:ascii="仿宋_GB2312" w:eastAsia="仿宋_GB2312"/>
          <w:sz w:val="32"/>
          <w:szCs w:val="32"/>
          <w:lang w:val="en-US" w:eastAsia="zh-CN"/>
        </w:rPr>
        <w:t>326.97</w:t>
      </w:r>
      <w:r>
        <w:rPr>
          <w:rFonts w:hint="eastAsia" w:ascii="仿宋_GB2312" w:eastAsia="仿宋_GB2312"/>
          <w:sz w:val="32"/>
          <w:szCs w:val="32"/>
        </w:rPr>
        <w:t>万元，完成预算100%，决算数等于预算数。</w:t>
      </w:r>
    </w:p>
    <w:p w14:paraId="1AE186C2">
      <w:pPr>
        <w:pageBreakBefore w:val="0"/>
        <w:kinsoku/>
        <w:wordWrap/>
        <w:overflowPunct/>
        <w:topLinePunct w:val="0"/>
        <w:autoSpaceDE/>
        <w:autoSpaceDN/>
        <w:bidi w:val="0"/>
        <w:snapToGrid w:val="0"/>
        <w:spacing w:line="360" w:lineRule="auto"/>
        <w:ind w:firstLine="632" w:firstLineChars="200"/>
        <w:outlineLvl w:val="0"/>
        <w:rPr>
          <w:rFonts w:hint="eastAsia" w:ascii="Times New Roman" w:hAnsi="Times New Roman" w:eastAsia="黑体"/>
          <w:color w:val="auto"/>
          <w:sz w:val="32"/>
          <w:szCs w:val="32"/>
          <w:highlight w:val="none"/>
        </w:rPr>
      </w:pPr>
      <w:bookmarkStart w:id="52" w:name="_Toc15377214"/>
      <w:bookmarkStart w:id="53" w:name="_Toc15396608"/>
      <w:bookmarkStart w:id="54" w:name="_Toc23499"/>
      <w:r>
        <w:rPr>
          <w:rFonts w:hint="eastAsia" w:ascii="Times New Roman" w:hAnsi="Times New Roman" w:eastAsia="黑体"/>
          <w:color w:val="auto"/>
          <w:sz w:val="32"/>
          <w:szCs w:val="32"/>
          <w:highlight w:val="none"/>
        </w:rPr>
        <w:t>六、一般公共预算财政拨款基本支出决算情况说明</w:t>
      </w:r>
      <w:bookmarkEnd w:id="52"/>
      <w:bookmarkEnd w:id="53"/>
      <w:bookmarkEnd w:id="54"/>
      <w:r>
        <w:rPr>
          <w:rFonts w:hint="eastAsia" w:ascii="Times New Roman" w:hAnsi="Times New Roman" w:eastAsia="黑体"/>
          <w:color w:val="auto"/>
          <w:sz w:val="32"/>
          <w:szCs w:val="32"/>
          <w:highlight w:val="none"/>
        </w:rPr>
        <w:tab/>
      </w:r>
    </w:p>
    <w:p w14:paraId="23871841">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eastAsia="仿宋_GB2312" w:cs="仿宋_GB2312"/>
          <w:color w:val="auto"/>
          <w:kern w:val="2"/>
          <w:sz w:val="32"/>
          <w:szCs w:val="32"/>
          <w:highlight w:val="none"/>
          <w:lang w:val="en-US" w:eastAsia="zh-CN" w:bidi="ar-SA"/>
        </w:rPr>
        <w:t>4593.82</w:t>
      </w:r>
      <w:r>
        <w:rPr>
          <w:rFonts w:hint="eastAsia" w:ascii="Times New Roman" w:hAnsi="Times New Roman" w:eastAsia="仿宋_GB2312" w:cs="仿宋_GB2312"/>
          <w:color w:val="auto"/>
          <w:kern w:val="2"/>
          <w:sz w:val="32"/>
          <w:szCs w:val="32"/>
          <w:highlight w:val="none"/>
          <w:lang w:val="en-US" w:eastAsia="zh-CN" w:bidi="ar-SA"/>
        </w:rPr>
        <w:t>万元，其中：</w:t>
      </w:r>
    </w:p>
    <w:p w14:paraId="3F50613D">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eastAsia="仿宋_GB2312" w:cs="仿宋_GB2312"/>
          <w:color w:val="auto"/>
          <w:kern w:val="2"/>
          <w:sz w:val="32"/>
          <w:szCs w:val="32"/>
          <w:highlight w:val="none"/>
          <w:lang w:val="en-US" w:eastAsia="zh-CN" w:bidi="ar-SA"/>
        </w:rPr>
        <w:t>4463.04</w:t>
      </w:r>
      <w:r>
        <w:rPr>
          <w:rFonts w:hint="eastAsia" w:ascii="Times New Roman" w:hAnsi="Times New Roman" w:eastAsia="仿宋_GB2312" w:cs="仿宋_GB2312"/>
          <w:color w:val="auto"/>
          <w:kern w:val="2"/>
          <w:sz w:val="32"/>
          <w:szCs w:val="32"/>
          <w:highlight w:val="none"/>
          <w:lang w:val="en-US" w:eastAsia="zh-CN" w:bidi="ar-SA"/>
        </w:rPr>
        <w:t>万元，主要包括：基本工资</w:t>
      </w:r>
      <w:r>
        <w:rPr>
          <w:rFonts w:hint="eastAsia" w:eastAsia="仿宋_GB2312" w:cs="仿宋_GB2312"/>
          <w:color w:val="auto"/>
          <w:kern w:val="2"/>
          <w:sz w:val="32"/>
          <w:szCs w:val="32"/>
          <w:highlight w:val="none"/>
          <w:lang w:val="en-US" w:eastAsia="zh-CN" w:bidi="ar-SA"/>
        </w:rPr>
        <w:t>1277.43万元</w:t>
      </w:r>
      <w:r>
        <w:rPr>
          <w:rFonts w:hint="eastAsia" w:ascii="Times New Roman" w:hAnsi="Times New Roman" w:eastAsia="仿宋_GB2312" w:cs="仿宋_GB2312"/>
          <w:color w:val="auto"/>
          <w:kern w:val="2"/>
          <w:sz w:val="32"/>
          <w:szCs w:val="32"/>
          <w:highlight w:val="none"/>
          <w:lang w:val="en-US" w:eastAsia="zh-CN" w:bidi="ar-SA"/>
        </w:rPr>
        <w:t>、津贴补贴</w:t>
      </w:r>
      <w:r>
        <w:rPr>
          <w:rFonts w:hint="eastAsia" w:eastAsia="仿宋_GB2312" w:cs="仿宋_GB2312"/>
          <w:color w:val="auto"/>
          <w:kern w:val="2"/>
          <w:sz w:val="32"/>
          <w:szCs w:val="32"/>
          <w:highlight w:val="none"/>
          <w:lang w:val="en-US" w:eastAsia="zh-CN" w:bidi="ar-SA"/>
        </w:rPr>
        <w:t>23.41万元</w:t>
      </w:r>
      <w:r>
        <w:rPr>
          <w:rFonts w:hint="eastAsia" w:ascii="Times New Roman" w:hAnsi="Times New Roman" w:eastAsia="仿宋_GB2312" w:cs="仿宋_GB2312"/>
          <w:color w:val="auto"/>
          <w:kern w:val="2"/>
          <w:sz w:val="32"/>
          <w:szCs w:val="32"/>
          <w:highlight w:val="none"/>
          <w:lang w:val="en-US" w:eastAsia="zh-CN" w:bidi="ar-SA"/>
        </w:rPr>
        <w:t>、奖金</w:t>
      </w:r>
      <w:r>
        <w:rPr>
          <w:rFonts w:hint="eastAsia" w:eastAsia="仿宋_GB2312" w:cs="仿宋_GB2312"/>
          <w:color w:val="auto"/>
          <w:kern w:val="2"/>
          <w:sz w:val="32"/>
          <w:szCs w:val="32"/>
          <w:highlight w:val="none"/>
          <w:lang w:val="en-US" w:eastAsia="zh-CN" w:bidi="ar-SA"/>
        </w:rPr>
        <w:t>9.00万元</w:t>
      </w:r>
      <w:r>
        <w:rPr>
          <w:rFonts w:hint="eastAsia" w:ascii="Times New Roman" w:hAnsi="Times New Roman" w:eastAsia="仿宋_GB2312" w:cs="仿宋_GB2312"/>
          <w:color w:val="auto"/>
          <w:kern w:val="2"/>
          <w:sz w:val="32"/>
          <w:szCs w:val="32"/>
          <w:highlight w:val="none"/>
          <w:lang w:val="en-US" w:eastAsia="zh-CN" w:bidi="ar-SA"/>
        </w:rPr>
        <w:t>、绩效工资</w:t>
      </w:r>
      <w:r>
        <w:rPr>
          <w:rFonts w:hint="eastAsia" w:eastAsia="仿宋_GB2312" w:cs="仿宋_GB2312"/>
          <w:color w:val="auto"/>
          <w:kern w:val="2"/>
          <w:sz w:val="32"/>
          <w:szCs w:val="32"/>
          <w:highlight w:val="none"/>
          <w:lang w:val="en-US" w:eastAsia="zh-CN" w:bidi="ar-SA"/>
        </w:rPr>
        <w:t>735.91万元</w:t>
      </w:r>
      <w:r>
        <w:rPr>
          <w:rFonts w:hint="eastAsia" w:ascii="Times New Roman" w:hAnsi="Times New Roman" w:eastAsia="仿宋_GB2312" w:cs="仿宋_GB2312"/>
          <w:color w:val="auto"/>
          <w:kern w:val="2"/>
          <w:sz w:val="32"/>
          <w:szCs w:val="32"/>
          <w:highlight w:val="none"/>
          <w:lang w:val="en-US" w:eastAsia="zh-CN" w:bidi="ar-SA"/>
        </w:rPr>
        <w:t>、机关事业单位基本养老保险缴费</w:t>
      </w:r>
      <w:r>
        <w:rPr>
          <w:rFonts w:hint="eastAsia" w:eastAsia="仿宋_GB2312" w:cs="仿宋_GB2312"/>
          <w:color w:val="auto"/>
          <w:kern w:val="2"/>
          <w:sz w:val="32"/>
          <w:szCs w:val="32"/>
          <w:highlight w:val="none"/>
          <w:lang w:val="en-US" w:eastAsia="zh-CN" w:bidi="ar-SA"/>
        </w:rPr>
        <w:t>398.41万元</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职工基本医疗保险缴费200.29万元、</w:t>
      </w:r>
      <w:r>
        <w:rPr>
          <w:rFonts w:hint="eastAsia" w:ascii="Times New Roman" w:hAnsi="Times New Roman" w:eastAsia="仿宋_GB2312" w:cs="仿宋_GB2312"/>
          <w:color w:val="auto"/>
          <w:kern w:val="2"/>
          <w:sz w:val="32"/>
          <w:szCs w:val="32"/>
          <w:highlight w:val="none"/>
          <w:lang w:val="en-US" w:eastAsia="zh-CN" w:bidi="ar-SA"/>
        </w:rPr>
        <w:t>其他社会保障缴费</w:t>
      </w:r>
      <w:r>
        <w:rPr>
          <w:rFonts w:hint="eastAsia" w:eastAsia="仿宋_GB2312" w:cs="仿宋_GB2312"/>
          <w:color w:val="auto"/>
          <w:kern w:val="2"/>
          <w:sz w:val="32"/>
          <w:szCs w:val="32"/>
          <w:highlight w:val="none"/>
          <w:lang w:val="en-US" w:eastAsia="zh-CN" w:bidi="ar-SA"/>
        </w:rPr>
        <w:t>27.73万元</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住房公积金326.97万元、</w:t>
      </w:r>
      <w:r>
        <w:rPr>
          <w:rFonts w:hint="eastAsia" w:ascii="Times New Roman" w:hAnsi="Times New Roman" w:eastAsia="仿宋_GB2312" w:cs="仿宋_GB2312"/>
          <w:color w:val="auto"/>
          <w:kern w:val="2"/>
          <w:sz w:val="32"/>
          <w:szCs w:val="32"/>
          <w:highlight w:val="none"/>
          <w:lang w:val="en-US" w:eastAsia="zh-CN" w:bidi="ar-SA"/>
        </w:rPr>
        <w:t>其他工资福利支出</w:t>
      </w:r>
      <w:r>
        <w:rPr>
          <w:rFonts w:hint="eastAsia" w:eastAsia="仿宋_GB2312" w:cs="仿宋_GB2312"/>
          <w:color w:val="auto"/>
          <w:kern w:val="2"/>
          <w:sz w:val="32"/>
          <w:szCs w:val="32"/>
          <w:highlight w:val="none"/>
          <w:lang w:val="en-US" w:eastAsia="zh-CN" w:bidi="ar-SA"/>
        </w:rPr>
        <w:t>1102.23万元</w:t>
      </w:r>
      <w:r>
        <w:rPr>
          <w:rFonts w:hint="eastAsia" w:ascii="Times New Roman" w:hAnsi="Times New Roman" w:eastAsia="仿宋_GB2312" w:cs="仿宋_GB2312"/>
          <w:color w:val="auto"/>
          <w:kern w:val="2"/>
          <w:sz w:val="32"/>
          <w:szCs w:val="32"/>
          <w:highlight w:val="none"/>
          <w:lang w:val="en-US" w:eastAsia="zh-CN" w:bidi="ar-SA"/>
        </w:rPr>
        <w:t>、离休费</w:t>
      </w:r>
      <w:r>
        <w:rPr>
          <w:rFonts w:hint="eastAsia" w:eastAsia="仿宋_GB2312" w:cs="仿宋_GB2312"/>
          <w:color w:val="auto"/>
          <w:kern w:val="2"/>
          <w:sz w:val="32"/>
          <w:szCs w:val="32"/>
          <w:highlight w:val="none"/>
          <w:lang w:val="en-US" w:eastAsia="zh-CN" w:bidi="ar-SA"/>
        </w:rPr>
        <w:t>11.91万元</w:t>
      </w:r>
      <w:r>
        <w:rPr>
          <w:rFonts w:hint="eastAsia" w:ascii="Times New Roman" w:hAnsi="Times New Roman" w:eastAsia="仿宋_GB2312" w:cs="仿宋_GB2312"/>
          <w:color w:val="auto"/>
          <w:kern w:val="2"/>
          <w:sz w:val="32"/>
          <w:szCs w:val="32"/>
          <w:highlight w:val="none"/>
          <w:lang w:val="en-US" w:eastAsia="zh-CN" w:bidi="ar-SA"/>
        </w:rPr>
        <w:t>、抚恤金</w:t>
      </w:r>
      <w:r>
        <w:rPr>
          <w:rFonts w:hint="eastAsia" w:eastAsia="仿宋_GB2312" w:cs="仿宋_GB2312"/>
          <w:color w:val="auto"/>
          <w:kern w:val="2"/>
          <w:sz w:val="32"/>
          <w:szCs w:val="32"/>
          <w:highlight w:val="none"/>
          <w:lang w:val="en-US" w:eastAsia="zh-CN" w:bidi="ar-SA"/>
        </w:rPr>
        <w:t>33.66万元</w:t>
      </w:r>
      <w:r>
        <w:rPr>
          <w:rFonts w:hint="eastAsia" w:ascii="Times New Roman" w:hAnsi="Times New Roman" w:eastAsia="仿宋_GB2312" w:cs="仿宋_GB2312"/>
          <w:color w:val="auto"/>
          <w:kern w:val="2"/>
          <w:sz w:val="32"/>
          <w:szCs w:val="32"/>
          <w:highlight w:val="none"/>
          <w:lang w:val="en-US" w:eastAsia="zh-CN" w:bidi="ar-SA"/>
        </w:rPr>
        <w:t>、生活补助</w:t>
      </w:r>
      <w:r>
        <w:rPr>
          <w:rFonts w:hint="eastAsia" w:eastAsia="仿宋_GB2312" w:cs="仿宋_GB2312"/>
          <w:color w:val="auto"/>
          <w:kern w:val="2"/>
          <w:sz w:val="32"/>
          <w:szCs w:val="32"/>
          <w:highlight w:val="none"/>
          <w:lang w:val="en-US" w:eastAsia="zh-CN" w:bidi="ar-SA"/>
        </w:rPr>
        <w:t>299.15万元</w:t>
      </w:r>
      <w:r>
        <w:rPr>
          <w:rFonts w:hint="eastAsia" w:ascii="Times New Roman" w:hAnsi="Times New Roman" w:eastAsia="仿宋_GB2312" w:cs="仿宋_GB2312"/>
          <w:color w:val="auto"/>
          <w:kern w:val="2"/>
          <w:sz w:val="32"/>
          <w:szCs w:val="32"/>
          <w:highlight w:val="none"/>
          <w:lang w:val="en-US" w:eastAsia="zh-CN" w:bidi="ar-SA"/>
        </w:rPr>
        <w:t>、医疗费补助</w:t>
      </w:r>
      <w:r>
        <w:rPr>
          <w:rFonts w:hint="eastAsia" w:eastAsia="仿宋_GB2312" w:cs="仿宋_GB2312"/>
          <w:color w:val="auto"/>
          <w:kern w:val="2"/>
          <w:sz w:val="32"/>
          <w:szCs w:val="32"/>
          <w:highlight w:val="none"/>
          <w:lang w:val="en-US" w:eastAsia="zh-CN" w:bidi="ar-SA"/>
        </w:rPr>
        <w:t>16.95万元</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eastAsia="仿宋_GB2312" w:cs="仿宋_GB2312"/>
          <w:color w:val="auto"/>
          <w:kern w:val="2"/>
          <w:sz w:val="32"/>
          <w:szCs w:val="32"/>
          <w:highlight w:val="none"/>
          <w:lang w:val="en-US" w:eastAsia="zh-CN" w:bidi="ar-SA"/>
        </w:rPr>
        <w:t>130.78</w:t>
      </w:r>
      <w:r>
        <w:rPr>
          <w:rFonts w:hint="eastAsia" w:ascii="Times New Roman" w:hAnsi="Times New Roman" w:eastAsia="仿宋_GB2312" w:cs="仿宋_GB2312"/>
          <w:color w:val="auto"/>
          <w:kern w:val="2"/>
          <w:sz w:val="32"/>
          <w:szCs w:val="32"/>
          <w:highlight w:val="none"/>
          <w:lang w:val="en-US" w:eastAsia="zh-CN" w:bidi="ar-SA"/>
        </w:rPr>
        <w:t>万元，主要包括：工会经费</w:t>
      </w:r>
      <w:r>
        <w:rPr>
          <w:rFonts w:hint="eastAsia" w:eastAsia="仿宋_GB2312" w:cs="仿宋_GB2312"/>
          <w:color w:val="auto"/>
          <w:kern w:val="2"/>
          <w:sz w:val="32"/>
          <w:szCs w:val="32"/>
          <w:highlight w:val="none"/>
          <w:lang w:val="en-US" w:eastAsia="zh-CN" w:bidi="ar-SA"/>
        </w:rPr>
        <w:t>38.15万元</w:t>
      </w:r>
      <w:r>
        <w:rPr>
          <w:rFonts w:hint="eastAsia" w:ascii="Times New Roman" w:hAnsi="Times New Roman" w:eastAsia="仿宋_GB2312" w:cs="仿宋_GB2312"/>
          <w:color w:val="auto"/>
          <w:kern w:val="2"/>
          <w:sz w:val="32"/>
          <w:szCs w:val="32"/>
          <w:highlight w:val="none"/>
          <w:lang w:val="en-US" w:eastAsia="zh-CN" w:bidi="ar-SA"/>
        </w:rPr>
        <w:t>、福利费</w:t>
      </w:r>
      <w:r>
        <w:rPr>
          <w:rFonts w:hint="eastAsia" w:eastAsia="仿宋_GB2312" w:cs="仿宋_GB2312"/>
          <w:color w:val="auto"/>
          <w:kern w:val="2"/>
          <w:sz w:val="32"/>
          <w:szCs w:val="32"/>
          <w:highlight w:val="none"/>
          <w:lang w:val="en-US" w:eastAsia="zh-CN" w:bidi="ar-SA"/>
        </w:rPr>
        <w:t>59.01万元</w:t>
      </w:r>
      <w:r>
        <w:rPr>
          <w:rFonts w:hint="eastAsia" w:ascii="Times New Roman" w:hAnsi="Times New Roman" w:eastAsia="仿宋_GB2312" w:cs="仿宋_GB2312"/>
          <w:color w:val="auto"/>
          <w:kern w:val="2"/>
          <w:sz w:val="32"/>
          <w:szCs w:val="32"/>
          <w:highlight w:val="none"/>
          <w:lang w:val="en-US" w:eastAsia="zh-CN" w:bidi="ar-SA"/>
        </w:rPr>
        <w:t>、其他交通费</w:t>
      </w:r>
      <w:r>
        <w:rPr>
          <w:rFonts w:hint="eastAsia" w:eastAsia="仿宋_GB2312" w:cs="仿宋_GB2312"/>
          <w:color w:val="auto"/>
          <w:kern w:val="2"/>
          <w:sz w:val="32"/>
          <w:szCs w:val="32"/>
          <w:highlight w:val="none"/>
          <w:lang w:val="en-US" w:eastAsia="zh-CN" w:bidi="ar-SA"/>
        </w:rPr>
        <w:t>11.23万元</w:t>
      </w:r>
      <w:r>
        <w:rPr>
          <w:rFonts w:hint="eastAsia" w:ascii="Times New Roman" w:hAnsi="Times New Roman" w:eastAsia="仿宋_GB2312" w:cs="仿宋_GB2312"/>
          <w:color w:val="auto"/>
          <w:kern w:val="2"/>
          <w:sz w:val="32"/>
          <w:szCs w:val="32"/>
          <w:highlight w:val="none"/>
          <w:lang w:val="en-US" w:eastAsia="zh-CN" w:bidi="ar-SA"/>
        </w:rPr>
        <w:t>、其他商品和服务支出</w:t>
      </w:r>
      <w:r>
        <w:rPr>
          <w:rFonts w:hint="eastAsia" w:eastAsia="仿宋_GB2312" w:cs="仿宋_GB2312"/>
          <w:color w:val="auto"/>
          <w:kern w:val="2"/>
          <w:sz w:val="32"/>
          <w:szCs w:val="32"/>
          <w:highlight w:val="none"/>
          <w:lang w:val="en-US" w:eastAsia="zh-CN" w:bidi="ar-SA"/>
        </w:rPr>
        <w:t>22.39万元</w:t>
      </w:r>
      <w:r>
        <w:rPr>
          <w:rFonts w:hint="eastAsia" w:ascii="Times New Roman" w:hAnsi="Times New Roman" w:eastAsia="仿宋_GB2312" w:cs="仿宋_GB2312"/>
          <w:color w:val="auto"/>
          <w:kern w:val="2"/>
          <w:sz w:val="32"/>
          <w:szCs w:val="32"/>
          <w:highlight w:val="none"/>
          <w:lang w:val="en-US" w:eastAsia="zh-CN" w:bidi="ar-SA"/>
        </w:rPr>
        <w:t>。</w:t>
      </w:r>
    </w:p>
    <w:p w14:paraId="227BC2AA">
      <w:pPr>
        <w:pageBreakBefore w:val="0"/>
        <w:kinsoku/>
        <w:wordWrap/>
        <w:overflowPunct/>
        <w:topLinePunct w:val="0"/>
        <w:autoSpaceDE/>
        <w:autoSpaceDN/>
        <w:bidi w:val="0"/>
        <w:snapToGrid w:val="0"/>
        <w:spacing w:line="360" w:lineRule="auto"/>
        <w:ind w:firstLine="640" w:firstLineChars="0"/>
        <w:outlineLvl w:val="0"/>
        <w:rPr>
          <w:rFonts w:ascii="Times New Roman" w:hAnsi="Times New Roman" w:eastAsia="黑体"/>
          <w:b w:val="0"/>
          <w:color w:val="auto"/>
          <w:highlight w:val="none"/>
        </w:rPr>
      </w:pPr>
      <w:bookmarkStart w:id="55" w:name="_Toc15377215"/>
      <w:bookmarkStart w:id="56" w:name="_Toc15396609"/>
      <w:bookmarkStart w:id="57" w:name="_Toc4357"/>
      <w:r>
        <w:rPr>
          <w:rFonts w:hint="eastAsia" w:ascii="Times New Roman" w:hAnsi="Times New Roman" w:eastAsia="黑体"/>
          <w:color w:val="auto"/>
          <w:sz w:val="32"/>
          <w:szCs w:val="32"/>
          <w:highlight w:val="none"/>
        </w:rPr>
        <w:t>七、</w:t>
      </w:r>
      <w:r>
        <w:rPr>
          <w:rStyle w:val="40"/>
          <w:rFonts w:hint="eastAsia" w:ascii="Times New Roman" w:hAnsi="Times New Roman" w:eastAsia="黑体"/>
          <w:b w:val="0"/>
          <w:color w:val="auto"/>
          <w:highlight w:val="none"/>
        </w:rPr>
        <w:t>财政拨款</w:t>
      </w:r>
      <w:r>
        <w:rPr>
          <w:rStyle w:val="40"/>
          <w:rFonts w:hint="eastAsia" w:ascii="Times New Roman" w:hAnsi="Times New Roman" w:eastAsia="黑体"/>
          <w:color w:val="auto"/>
          <w:highlight w:val="none"/>
        </w:rPr>
        <w:t>“</w:t>
      </w:r>
      <w:r>
        <w:rPr>
          <w:rStyle w:val="40"/>
          <w:rFonts w:hint="eastAsia" w:ascii="Times New Roman" w:hAnsi="Times New Roman" w:eastAsia="黑体"/>
          <w:b w:val="0"/>
          <w:color w:val="auto"/>
          <w:highlight w:val="none"/>
        </w:rPr>
        <w:t>三公”经费支出决算情况说明</w:t>
      </w:r>
      <w:bookmarkEnd w:id="55"/>
      <w:bookmarkEnd w:id="56"/>
      <w:bookmarkEnd w:id="57"/>
    </w:p>
    <w:p w14:paraId="474992E9">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58" w:name="_Toc15377216"/>
      <w:bookmarkStart w:id="59" w:name="_Toc15752"/>
      <w:r>
        <w:rPr>
          <w:rFonts w:hint="eastAsia" w:ascii="Times New Roman" w:hAnsi="Times New Roman" w:eastAsia="楷体_GB2312" w:cs="楷体_GB2312"/>
          <w:b/>
          <w:color w:val="auto"/>
          <w:sz w:val="32"/>
          <w:szCs w:val="32"/>
          <w:highlight w:val="none"/>
        </w:rPr>
        <w:t>（一）“三公”经费财政拨款支出决算总体情况说明</w:t>
      </w:r>
      <w:bookmarkEnd w:id="58"/>
      <w:bookmarkEnd w:id="59"/>
    </w:p>
    <w:p w14:paraId="4ED1A035">
      <w:pPr>
        <w:pageBreakBefore w:val="0"/>
        <w:kinsoku/>
        <w:wordWrap/>
        <w:overflowPunct/>
        <w:topLinePunct w:val="0"/>
        <w:autoSpaceDE/>
        <w:autoSpaceDN/>
        <w:bidi w:val="0"/>
        <w:snapToGrid w:val="0"/>
        <w:spacing w:line="360" w:lineRule="auto"/>
        <w:ind w:firstLine="640" w:firstLineChars="0"/>
        <w:outlineLvl w:val="9"/>
        <w:rPr>
          <w:rFonts w:hint="eastAsia" w:eastAsia="楷体_GB2312" w:cs="楷体_GB2312"/>
          <w:b/>
          <w:color w:val="auto"/>
          <w:sz w:val="32"/>
          <w:szCs w:val="32"/>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%，较上年度增加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%。决算数与预算数持平</w:t>
      </w:r>
      <w:bookmarkStart w:id="60" w:name="_Toc15377217"/>
      <w:r>
        <w:rPr>
          <w:rFonts w:hint="eastAsia" w:eastAsia="楷体_GB2312" w:cs="楷体_GB2312"/>
          <w:b/>
          <w:color w:val="auto"/>
          <w:sz w:val="32"/>
          <w:szCs w:val="32"/>
          <w:highlight w:val="none"/>
          <w:lang w:eastAsia="zh-CN"/>
        </w:rPr>
        <w:t>。</w:t>
      </w:r>
    </w:p>
    <w:p w14:paraId="349A8E32">
      <w:pPr>
        <w:pageBreakBefore w:val="0"/>
        <w:kinsoku/>
        <w:wordWrap/>
        <w:overflowPunct/>
        <w:topLinePunct w:val="0"/>
        <w:autoSpaceDE/>
        <w:autoSpaceDN/>
        <w:bidi w:val="0"/>
        <w:snapToGrid w:val="0"/>
        <w:spacing w:line="360" w:lineRule="auto"/>
        <w:ind w:firstLine="640" w:firstLineChars="0"/>
        <w:outlineLvl w:val="1"/>
        <w:rPr>
          <w:rFonts w:hint="eastAsia" w:ascii="Times New Roman" w:hAnsi="Times New Roman" w:eastAsia="楷体_GB2312" w:cs="楷体_GB2312"/>
          <w:b/>
          <w:color w:val="auto"/>
          <w:sz w:val="32"/>
          <w:szCs w:val="32"/>
          <w:highlight w:val="none"/>
        </w:rPr>
      </w:pPr>
      <w:bookmarkStart w:id="61" w:name="_Toc17049"/>
      <w:r>
        <w:rPr>
          <w:rFonts w:hint="eastAsia" w:ascii="Times New Roman" w:hAnsi="Times New Roman" w:eastAsia="楷体_GB2312" w:cs="楷体_GB2312"/>
          <w:b/>
          <w:color w:val="auto"/>
          <w:sz w:val="32"/>
          <w:szCs w:val="32"/>
          <w:highlight w:val="none"/>
        </w:rPr>
        <w:t>（二）“三公”经费财政拨款支出决算具体情况说明</w:t>
      </w:r>
      <w:bookmarkEnd w:id="60"/>
      <w:bookmarkEnd w:id="61"/>
    </w:p>
    <w:p w14:paraId="75312814">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2024年度“三公”经费财政拨款支出决算中，因公出国（境）费支出决算</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%；公务接待费支出决算</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w:t>
      </w:r>
    </w:p>
    <w:p w14:paraId="0CE3B071">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1.因公出国（境）经费支出0万元，完成预算100%。</w:t>
      </w:r>
      <w:r>
        <w:rPr>
          <w:rFonts w:hint="eastAsia" w:ascii="仿宋" w:hAnsi="仿宋" w:eastAsia="仿宋" w:cs="仿宋"/>
          <w:color w:val="auto"/>
          <w:kern w:val="2"/>
          <w:sz w:val="32"/>
          <w:szCs w:val="32"/>
          <w:highlight w:val="none"/>
          <w:lang w:val="en-US" w:eastAsia="zh-CN" w:bidi="ar-SA"/>
        </w:rPr>
        <w:t>全年</w:t>
      </w:r>
      <w:r>
        <w:rPr>
          <w:rFonts w:hint="eastAsia" w:ascii="Times New Roman" w:hAnsi="Times New Roman" w:eastAsia="仿宋_GB2312" w:cs="仿宋_GB2312"/>
          <w:color w:val="auto"/>
          <w:kern w:val="2"/>
          <w:sz w:val="32"/>
          <w:szCs w:val="32"/>
          <w:highlight w:val="none"/>
          <w:lang w:val="en-US" w:eastAsia="zh-CN" w:bidi="ar-SA"/>
        </w:rPr>
        <w:t>安排因公出国（境）团组</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人。因公出国（境）支出决算比2023年增加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w:t>
      </w:r>
    </w:p>
    <w:p w14:paraId="36700823">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2.公务用车购置及运行维护费支出0万元，完成预算100%。</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2023</w:t>
      </w:r>
      <w:r>
        <w:rPr>
          <w:rFonts w:hint="eastAsia" w:eastAsia="仿宋_GB2312" w:cs="仿宋_GB2312"/>
          <w:color w:val="auto"/>
          <w:kern w:val="2"/>
          <w:sz w:val="32"/>
          <w:szCs w:val="32"/>
          <w:highlight w:val="none"/>
          <w:lang w:val="en-US" w:eastAsia="zh-CN" w:bidi="ar-SA"/>
        </w:rPr>
        <w:t>持平。</w:t>
      </w:r>
      <w:r>
        <w:rPr>
          <w:rFonts w:hint="eastAsia" w:ascii="Times New Roman" w:hAnsi="Times New Roman" w:eastAsia="仿宋_GB2312" w:cs="仿宋_GB2312"/>
          <w:color w:val="auto"/>
          <w:kern w:val="2"/>
          <w:sz w:val="32"/>
          <w:szCs w:val="32"/>
          <w:highlight w:val="none"/>
          <w:lang w:val="en-US" w:eastAsia="zh-CN" w:bidi="ar-SA"/>
        </w:rPr>
        <w:t>其中：公务用车购置支出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辆。截至2024年12月31日，单位共有公务用车*</w:t>
      </w: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辆。</w:t>
      </w:r>
    </w:p>
    <w:p w14:paraId="18740E21">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w:t>
      </w:r>
    </w:p>
    <w:p w14:paraId="3E0879C2">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3.公务接待费支出0万元，完成预算100%。</w:t>
      </w:r>
      <w:r>
        <w:rPr>
          <w:rFonts w:hint="eastAsia" w:ascii="Times New Roman" w:hAnsi="Times New Roman" w:eastAsia="仿宋_GB2312" w:cs="仿宋_GB2312"/>
          <w:color w:val="auto"/>
          <w:kern w:val="2"/>
          <w:sz w:val="32"/>
          <w:szCs w:val="32"/>
          <w:highlight w:val="none"/>
          <w:lang w:val="en-US" w:eastAsia="zh-CN" w:bidi="ar-SA"/>
        </w:rPr>
        <w:t>公务接待费支出决算</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2023年度</w:t>
      </w:r>
      <w:r>
        <w:rPr>
          <w:rFonts w:hint="eastAsia" w:eastAsia="仿宋_GB2312" w:cs="仿宋_GB2312"/>
          <w:color w:val="auto"/>
          <w:kern w:val="2"/>
          <w:sz w:val="32"/>
          <w:szCs w:val="32"/>
          <w:highlight w:val="none"/>
          <w:lang w:val="en-US" w:eastAsia="zh-CN" w:bidi="ar-SA"/>
        </w:rPr>
        <w:t>持平</w:t>
      </w:r>
      <w:r>
        <w:rPr>
          <w:rFonts w:hint="eastAsia" w:ascii="Times New Roman" w:hAnsi="Times New Roman" w:eastAsia="仿宋_GB2312" w:cs="仿宋_GB2312"/>
          <w:color w:val="auto"/>
          <w:kern w:val="2"/>
          <w:sz w:val="32"/>
          <w:szCs w:val="32"/>
          <w:highlight w:val="none"/>
          <w:lang w:val="en-US" w:eastAsia="zh-CN" w:bidi="ar-SA"/>
        </w:rPr>
        <w:t>。其中：</w:t>
      </w:r>
    </w:p>
    <w:p w14:paraId="53A68DBE">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万元。国内公务接待</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批次，</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人次（不包括陪同人员），共计支出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w:t>
      </w:r>
    </w:p>
    <w:p w14:paraId="5279822F">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万元。外事接待</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批次，</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人次</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共计支出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w:t>
      </w:r>
    </w:p>
    <w:p w14:paraId="10049DFA">
      <w:pPr>
        <w:pageBreakBefore w:val="0"/>
        <w:kinsoku/>
        <w:wordWrap/>
        <w:overflowPunct/>
        <w:topLinePunct w:val="0"/>
        <w:autoSpaceDE/>
        <w:autoSpaceDN/>
        <w:bidi w:val="0"/>
        <w:snapToGrid w:val="0"/>
        <w:spacing w:line="360" w:lineRule="auto"/>
        <w:ind w:firstLine="640" w:firstLineChars="0"/>
        <w:outlineLvl w:val="0"/>
        <w:rPr>
          <w:rFonts w:ascii="Times New Roman" w:hAnsi="Times New Roman" w:eastAsia="黑体"/>
          <w:color w:val="auto"/>
          <w:highlight w:val="none"/>
        </w:rPr>
      </w:pPr>
      <w:bookmarkStart w:id="62" w:name="_Toc15377218"/>
      <w:bookmarkStart w:id="63" w:name="_Toc1543"/>
      <w:bookmarkStart w:id="64" w:name="_Toc15396610"/>
      <w:r>
        <w:rPr>
          <w:rFonts w:hint="eastAsia" w:ascii="Times New Roman" w:hAnsi="Times New Roman" w:eastAsia="黑体"/>
          <w:color w:val="auto"/>
          <w:sz w:val="32"/>
          <w:szCs w:val="32"/>
          <w:highlight w:val="none"/>
        </w:rPr>
        <w:t>八、</w:t>
      </w:r>
      <w:r>
        <w:rPr>
          <w:rStyle w:val="40"/>
          <w:rFonts w:hint="eastAsia" w:ascii="Times New Roman" w:hAnsi="Times New Roman" w:eastAsia="黑体"/>
          <w:b w:val="0"/>
          <w:color w:val="auto"/>
          <w:highlight w:val="none"/>
        </w:rPr>
        <w:t>政府性基金预算支出决算情况说明</w:t>
      </w:r>
      <w:bookmarkEnd w:id="62"/>
      <w:bookmarkEnd w:id="63"/>
      <w:bookmarkEnd w:id="64"/>
    </w:p>
    <w:p w14:paraId="195AB188">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2024年度政府性基金预算财政拨款支出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万元，占本年支出合计的</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w:t>
      </w:r>
      <w:r>
        <w:rPr>
          <w:rFonts w:hint="eastAsia" w:eastAsia="仿宋_GB2312" w:cs="仿宋_GB2312"/>
          <w:color w:val="auto"/>
          <w:kern w:val="2"/>
          <w:sz w:val="32"/>
          <w:szCs w:val="32"/>
          <w:highlight w:val="none"/>
          <w:lang w:val="en-US" w:eastAsia="zh-CN" w:bidi="ar-SA"/>
        </w:rPr>
        <w:t>持平</w:t>
      </w:r>
      <w:r>
        <w:rPr>
          <w:rFonts w:hint="eastAsia" w:ascii="Times New Roman" w:hAnsi="Times New Roman" w:eastAsia="仿宋_GB2312" w:cs="仿宋_GB2312"/>
          <w:color w:val="auto"/>
          <w:kern w:val="2"/>
          <w:sz w:val="32"/>
          <w:szCs w:val="32"/>
          <w:highlight w:val="none"/>
          <w:lang w:val="en-US" w:eastAsia="zh-CN" w:bidi="ar-SA"/>
        </w:rPr>
        <w:t>。</w:t>
      </w:r>
    </w:p>
    <w:p w14:paraId="4C2C0353">
      <w:pPr>
        <w:pageBreakBefore w:val="0"/>
        <w:numPr>
          <w:ilvl w:val="0"/>
          <w:numId w:val="0"/>
        </w:numPr>
        <w:kinsoku/>
        <w:wordWrap/>
        <w:overflowPunct/>
        <w:topLinePunct w:val="0"/>
        <w:autoSpaceDE/>
        <w:autoSpaceDN/>
        <w:bidi w:val="0"/>
        <w:snapToGrid w:val="0"/>
        <w:spacing w:line="360" w:lineRule="auto"/>
        <w:ind w:left="630" w:leftChars="0" w:firstLine="0" w:firstLineChars="0"/>
        <w:outlineLvl w:val="0"/>
        <w:rPr>
          <w:rFonts w:ascii="Times New Roman" w:hAnsi="Times New Roman" w:eastAsia="黑体"/>
          <w:b w:val="0"/>
          <w:color w:val="auto"/>
          <w:highlight w:val="none"/>
        </w:rPr>
      </w:pPr>
      <w:bookmarkStart w:id="65" w:name="_Toc15377219"/>
      <w:bookmarkStart w:id="66" w:name="_Toc15396611"/>
      <w:bookmarkStart w:id="67" w:name="_Toc11399"/>
      <w:r>
        <w:rPr>
          <w:rStyle w:val="40"/>
          <w:rFonts w:hint="eastAsia" w:ascii="Times New Roman" w:hAnsi="Times New Roman" w:eastAsia="黑体"/>
          <w:b w:val="0"/>
          <w:color w:val="auto"/>
          <w:highlight w:val="none"/>
          <w:lang w:eastAsia="zh-CN"/>
        </w:rPr>
        <w:t>九、</w:t>
      </w:r>
      <w:r>
        <w:rPr>
          <w:rStyle w:val="40"/>
          <w:rFonts w:hint="eastAsia" w:ascii="Times New Roman" w:hAnsi="Times New Roman" w:eastAsia="黑体"/>
          <w:b w:val="0"/>
          <w:color w:val="auto"/>
          <w:highlight w:val="none"/>
        </w:rPr>
        <w:t>国有资本经营预算支出决算情况说明</w:t>
      </w:r>
      <w:bookmarkEnd w:id="65"/>
      <w:bookmarkEnd w:id="66"/>
      <w:bookmarkEnd w:id="67"/>
    </w:p>
    <w:p w14:paraId="468EF84C">
      <w:pPr>
        <w:pageBreakBefore w:val="0"/>
        <w:numPr>
          <w:ilvl w:val="0"/>
          <w:numId w:val="0"/>
        </w:numPr>
        <w:kinsoku/>
        <w:wordWrap/>
        <w:overflowPunct/>
        <w:topLinePunct w:val="0"/>
        <w:autoSpaceDE/>
        <w:autoSpaceDN/>
        <w:bidi w:val="0"/>
        <w:snapToGrid w:val="0"/>
        <w:spacing w:line="360" w:lineRule="auto"/>
        <w:ind w:left="630" w:leftChars="0" w:firstLine="0" w:firstLineChars="0"/>
        <w:outlineLvl w:val="9"/>
        <w:rPr>
          <w:rFonts w:hint="eastAsia" w:ascii="Times New Roman" w:hAnsi="Times New Roman" w:eastAsia="黑体"/>
          <w:b w:val="0"/>
          <w:color w:val="auto"/>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万元，占本年支出合计的</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%。与2023年度</w:t>
      </w:r>
      <w:r>
        <w:rPr>
          <w:rFonts w:hint="eastAsia" w:eastAsia="仿宋_GB2312" w:cs="仿宋_GB2312"/>
          <w:color w:val="auto"/>
          <w:kern w:val="2"/>
          <w:sz w:val="32"/>
          <w:szCs w:val="32"/>
          <w:highlight w:val="none"/>
          <w:lang w:val="en-US" w:eastAsia="zh-CN" w:bidi="ar-SA"/>
        </w:rPr>
        <w:t>持平</w:t>
      </w:r>
      <w:r>
        <w:rPr>
          <w:rFonts w:hint="eastAsia" w:ascii="Times New Roman" w:hAnsi="Times New Roman" w:eastAsia="仿宋_GB2312" w:cs="仿宋_GB2312"/>
          <w:color w:val="auto"/>
          <w:kern w:val="2"/>
          <w:sz w:val="32"/>
          <w:szCs w:val="32"/>
          <w:highlight w:val="none"/>
          <w:lang w:val="en-US" w:eastAsia="zh-CN" w:bidi="ar-SA"/>
        </w:rPr>
        <w:t>。</w:t>
      </w:r>
      <w:bookmarkStart w:id="68" w:name="_Toc15396612"/>
      <w:bookmarkStart w:id="69" w:name="_Toc15377221"/>
    </w:p>
    <w:p w14:paraId="77B1E090">
      <w:pPr>
        <w:pageBreakBefore w:val="0"/>
        <w:numPr>
          <w:ilvl w:val="0"/>
          <w:numId w:val="0"/>
        </w:numPr>
        <w:kinsoku/>
        <w:wordWrap/>
        <w:overflowPunct/>
        <w:topLinePunct w:val="0"/>
        <w:autoSpaceDE/>
        <w:autoSpaceDN/>
        <w:bidi w:val="0"/>
        <w:snapToGrid w:val="0"/>
        <w:spacing w:line="360" w:lineRule="auto"/>
        <w:ind w:left="630" w:leftChars="0" w:firstLine="0" w:firstLineChars="0"/>
        <w:outlineLvl w:val="0"/>
        <w:rPr>
          <w:rFonts w:hint="eastAsia" w:ascii="Times New Roman" w:hAnsi="Times New Roman" w:eastAsia="黑体"/>
          <w:b w:val="0"/>
          <w:color w:val="auto"/>
          <w:highlight w:val="none"/>
        </w:rPr>
      </w:pPr>
      <w:bookmarkStart w:id="70" w:name="_Toc27806"/>
      <w:r>
        <w:rPr>
          <w:rStyle w:val="40"/>
          <w:rFonts w:hint="eastAsia" w:ascii="Times New Roman" w:hAnsi="Times New Roman" w:eastAsia="黑体"/>
          <w:b w:val="0"/>
          <w:color w:val="auto"/>
          <w:highlight w:val="none"/>
          <w:lang w:eastAsia="zh-CN"/>
        </w:rPr>
        <w:t>十、</w:t>
      </w:r>
      <w:r>
        <w:rPr>
          <w:rStyle w:val="40"/>
          <w:rFonts w:hint="eastAsia" w:ascii="Times New Roman" w:hAnsi="Times New Roman" w:eastAsia="黑体"/>
          <w:b w:val="0"/>
          <w:color w:val="auto"/>
          <w:highlight w:val="none"/>
        </w:rPr>
        <w:t>其他重要事项的情况说明</w:t>
      </w:r>
      <w:bookmarkEnd w:id="68"/>
      <w:bookmarkEnd w:id="69"/>
      <w:bookmarkEnd w:id="70"/>
    </w:p>
    <w:p w14:paraId="46B8E5E9">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71" w:name="_Toc16326"/>
      <w:bookmarkStart w:id="72" w:name="_Toc15377222"/>
      <w:r>
        <w:rPr>
          <w:rFonts w:hint="eastAsia" w:ascii="Times New Roman" w:hAnsi="Times New Roman" w:eastAsia="楷体_GB2312" w:cs="楷体_GB2312"/>
          <w:b/>
          <w:color w:val="auto"/>
          <w:sz w:val="32"/>
          <w:szCs w:val="32"/>
          <w:highlight w:val="none"/>
        </w:rPr>
        <w:t>（一）机关运行经费支出情况</w:t>
      </w:r>
      <w:bookmarkEnd w:id="71"/>
      <w:bookmarkEnd w:id="72"/>
    </w:p>
    <w:p w14:paraId="091186F6">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eastAsia="仿宋_GB2312"/>
          <w:sz w:val="32"/>
          <w:szCs w:val="32"/>
        </w:rPr>
        <w:t>我校是事业单位无该项支出。</w:t>
      </w:r>
    </w:p>
    <w:p w14:paraId="3FBB07B8">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73" w:name="_Toc16754"/>
      <w:bookmarkStart w:id="74" w:name="_Toc15377223"/>
      <w:r>
        <w:rPr>
          <w:rFonts w:hint="eastAsia" w:ascii="Times New Roman" w:hAnsi="Times New Roman" w:eastAsia="楷体_GB2312" w:cs="楷体_GB2312"/>
          <w:b/>
          <w:color w:val="auto"/>
          <w:sz w:val="32"/>
          <w:szCs w:val="32"/>
          <w:highlight w:val="none"/>
        </w:rPr>
        <w:t>（二）政府采购支出情况</w:t>
      </w:r>
      <w:bookmarkEnd w:id="73"/>
      <w:bookmarkEnd w:id="74"/>
    </w:p>
    <w:p w14:paraId="32E03F81">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eastAsia="仿宋_GB2312" w:cs="仿宋_GB2312"/>
          <w:color w:val="auto"/>
          <w:kern w:val="2"/>
          <w:sz w:val="32"/>
          <w:szCs w:val="32"/>
          <w:highlight w:val="none"/>
          <w:lang w:val="en-US" w:eastAsia="zh-CN" w:bidi="ar-SA"/>
        </w:rPr>
        <w:t>遂宁市职业技术学校</w:t>
      </w:r>
      <w:r>
        <w:rPr>
          <w:rFonts w:hint="eastAsia" w:ascii="Times New Roman" w:hAnsi="Times New Roman" w:eastAsia="仿宋_GB2312" w:cs="仿宋_GB2312"/>
          <w:color w:val="auto"/>
          <w:kern w:val="2"/>
          <w:sz w:val="32"/>
          <w:szCs w:val="32"/>
          <w:highlight w:val="none"/>
          <w:lang w:val="en-US" w:eastAsia="zh-CN" w:bidi="ar-SA"/>
        </w:rPr>
        <w:t>政府采购支出总额</w:t>
      </w:r>
      <w:r>
        <w:rPr>
          <w:rFonts w:hint="eastAsia" w:eastAsia="仿宋_GB2312" w:cs="仿宋_GB2312"/>
          <w:color w:val="auto"/>
          <w:kern w:val="2"/>
          <w:sz w:val="32"/>
          <w:szCs w:val="32"/>
          <w:highlight w:val="none"/>
          <w:lang w:val="en-US" w:eastAsia="zh-CN" w:bidi="ar-SA"/>
        </w:rPr>
        <w:t>96.56</w:t>
      </w:r>
      <w:r>
        <w:rPr>
          <w:rFonts w:hint="eastAsia" w:ascii="Times New Roman" w:hAnsi="Times New Roman" w:eastAsia="仿宋_GB2312" w:cs="仿宋_GB2312"/>
          <w:color w:val="auto"/>
          <w:kern w:val="2"/>
          <w:sz w:val="32"/>
          <w:szCs w:val="32"/>
          <w:highlight w:val="none"/>
          <w:lang w:val="en-US" w:eastAsia="zh-CN" w:bidi="ar-SA"/>
        </w:rPr>
        <w:t>万元，其中：政府采购货物支出</w:t>
      </w:r>
      <w:r>
        <w:rPr>
          <w:rFonts w:hint="eastAsia" w:eastAsia="仿宋_GB2312" w:cs="仿宋_GB2312"/>
          <w:color w:val="auto"/>
          <w:kern w:val="2"/>
          <w:sz w:val="32"/>
          <w:szCs w:val="32"/>
          <w:highlight w:val="none"/>
          <w:lang w:val="en-US" w:eastAsia="zh-CN" w:bidi="ar-SA"/>
        </w:rPr>
        <w:t>49.74</w:t>
      </w:r>
      <w:r>
        <w:rPr>
          <w:rFonts w:hint="eastAsia" w:ascii="Times New Roman" w:hAnsi="Times New Roman" w:eastAsia="仿宋_GB2312" w:cs="仿宋_GB2312"/>
          <w:color w:val="auto"/>
          <w:kern w:val="2"/>
          <w:sz w:val="32"/>
          <w:szCs w:val="32"/>
          <w:highlight w:val="none"/>
          <w:lang w:val="en-US" w:eastAsia="zh-CN" w:bidi="ar-SA"/>
        </w:rPr>
        <w:t>万元、政府采购工程支出</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万元、政府采购服务支出</w:t>
      </w:r>
      <w:r>
        <w:rPr>
          <w:rFonts w:hint="eastAsia" w:eastAsia="仿宋_GB2312" w:cs="仿宋_GB2312"/>
          <w:color w:val="auto"/>
          <w:kern w:val="2"/>
          <w:sz w:val="32"/>
          <w:szCs w:val="32"/>
          <w:highlight w:val="none"/>
          <w:lang w:val="en-US" w:eastAsia="zh-CN" w:bidi="ar-SA"/>
        </w:rPr>
        <w:t>46.82</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eastAsia="仿宋_GB2312" w:cs="仿宋_GB2312"/>
          <w:color w:val="auto"/>
          <w:kern w:val="2"/>
          <w:sz w:val="32"/>
          <w:szCs w:val="32"/>
          <w:highlight w:val="none"/>
          <w:lang w:val="en-US" w:eastAsia="zh-CN" w:bidi="ar-SA"/>
        </w:rPr>
        <w:t>学校办公设备采购</w:t>
      </w:r>
      <w:r>
        <w:rPr>
          <w:rFonts w:hint="eastAsia" w:ascii="Times New Roman" w:hAnsi="Times New Roman" w:eastAsia="仿宋_GB2312" w:cs="仿宋_GB2312"/>
          <w:color w:val="auto"/>
          <w:kern w:val="2"/>
          <w:sz w:val="32"/>
          <w:szCs w:val="32"/>
          <w:highlight w:val="none"/>
          <w:lang w:val="en-US" w:eastAsia="zh-CN" w:bidi="ar-SA"/>
        </w:rPr>
        <w:t>。授予中小企业合同金额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万元，占政府采购支出总额的</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%，其中：授予小微企业合同金额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万元，占政府采购支出总额的</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w:t>
      </w:r>
    </w:p>
    <w:p w14:paraId="2AAEBF8F">
      <w:pPr>
        <w:pageBreakBefore w:val="0"/>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75" w:name="_Toc27315"/>
      <w:bookmarkStart w:id="76" w:name="_Toc15377224"/>
      <w:r>
        <w:rPr>
          <w:rFonts w:hint="eastAsia" w:ascii="Times New Roman" w:hAnsi="Times New Roman" w:eastAsia="楷体_GB2312" w:cs="楷体_GB2312"/>
          <w:b/>
          <w:color w:val="auto"/>
          <w:sz w:val="32"/>
          <w:szCs w:val="32"/>
          <w:highlight w:val="none"/>
        </w:rPr>
        <w:t>（三）国有资产占有使用情况</w:t>
      </w:r>
      <w:bookmarkEnd w:id="75"/>
      <w:bookmarkEnd w:id="76"/>
    </w:p>
    <w:p w14:paraId="6510B0CE">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截至202</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年12月31日，</w:t>
      </w:r>
      <w:r>
        <w:rPr>
          <w:rFonts w:hint="eastAsia" w:eastAsia="仿宋_GB2312" w:cs="仿宋_GB2312"/>
          <w:color w:val="auto"/>
          <w:kern w:val="2"/>
          <w:sz w:val="32"/>
          <w:szCs w:val="32"/>
          <w:highlight w:val="none"/>
          <w:lang w:val="en-US" w:eastAsia="zh-CN" w:bidi="ar-SA"/>
        </w:rPr>
        <w:t>遂宁市职业技术学校</w:t>
      </w:r>
      <w:r>
        <w:rPr>
          <w:rFonts w:hint="eastAsia" w:ascii="Times New Roman" w:hAnsi="Times New Roman" w:eastAsia="仿宋_GB2312" w:cs="仿宋_GB2312"/>
          <w:color w:val="auto"/>
          <w:kern w:val="2"/>
          <w:sz w:val="32"/>
          <w:szCs w:val="32"/>
          <w:highlight w:val="none"/>
          <w:lang w:val="en-US" w:eastAsia="zh-CN" w:bidi="ar-SA"/>
        </w:rPr>
        <w:t>共有车辆</w:t>
      </w: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辆，其中：主要</w:t>
      </w:r>
      <w:r>
        <w:rPr>
          <w:rFonts w:hint="eastAsia" w:eastAsia="仿宋_GB2312" w:cs="仿宋_GB2312"/>
          <w:color w:val="auto"/>
          <w:kern w:val="2"/>
          <w:sz w:val="32"/>
          <w:szCs w:val="32"/>
          <w:highlight w:val="none"/>
          <w:lang w:val="en-US" w:eastAsia="zh-CN" w:bidi="ar-SA"/>
        </w:rPr>
        <w:t>负责人</w:t>
      </w:r>
      <w:r>
        <w:rPr>
          <w:rFonts w:hint="eastAsia" w:ascii="Times New Roman" w:hAnsi="Times New Roman" w:eastAsia="仿宋_GB2312" w:cs="仿宋_GB2312"/>
          <w:color w:val="auto"/>
          <w:kern w:val="2"/>
          <w:sz w:val="32"/>
          <w:szCs w:val="32"/>
          <w:highlight w:val="none"/>
          <w:lang w:val="en-US" w:eastAsia="zh-CN" w:bidi="ar-SA"/>
        </w:rPr>
        <w:t>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辆、机要通信用车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辆、应急保障用车</w:t>
      </w: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辆、其他用车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单价100万元</w:t>
      </w:r>
      <w:r>
        <w:rPr>
          <w:rFonts w:hint="eastAsia" w:eastAsia="仿宋_GB2312" w:cs="仿宋_GB2312"/>
          <w:color w:val="auto"/>
          <w:kern w:val="2"/>
          <w:sz w:val="32"/>
          <w:szCs w:val="32"/>
          <w:highlight w:val="none"/>
          <w:lang w:val="en-US" w:eastAsia="zh-CN" w:bidi="ar-SA"/>
        </w:rPr>
        <w:t>（含）</w:t>
      </w:r>
      <w:r>
        <w:rPr>
          <w:rFonts w:hint="eastAsia" w:ascii="Times New Roman" w:hAnsi="Times New Roman" w:eastAsia="仿宋_GB2312" w:cs="仿宋_GB2312"/>
          <w:color w:val="auto"/>
          <w:kern w:val="2"/>
          <w:sz w:val="32"/>
          <w:szCs w:val="32"/>
          <w:highlight w:val="none"/>
          <w:lang w:val="en-US" w:eastAsia="zh-CN" w:bidi="ar-SA"/>
        </w:rPr>
        <w:t>以上设备（不含车辆）</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台（套）。</w:t>
      </w:r>
    </w:p>
    <w:p w14:paraId="2D7A8D5E">
      <w:pPr>
        <w:pageBreakBefore w:val="0"/>
        <w:numPr>
          <w:ilvl w:val="0"/>
          <w:numId w:val="1"/>
        </w:numPr>
        <w:kinsoku/>
        <w:wordWrap/>
        <w:overflowPunct/>
        <w:topLinePunct w:val="0"/>
        <w:autoSpaceDE/>
        <w:autoSpaceDN/>
        <w:bidi w:val="0"/>
        <w:snapToGrid w:val="0"/>
        <w:spacing w:line="360" w:lineRule="auto"/>
        <w:ind w:firstLine="632" w:firstLineChars="200"/>
        <w:outlineLvl w:val="1"/>
        <w:rPr>
          <w:rFonts w:hint="eastAsia" w:ascii="Times New Roman" w:hAnsi="Times New Roman" w:eastAsia="楷体_GB2312" w:cs="楷体_GB2312"/>
          <w:b/>
          <w:color w:val="auto"/>
          <w:sz w:val="32"/>
          <w:szCs w:val="32"/>
          <w:highlight w:val="none"/>
        </w:rPr>
      </w:pPr>
      <w:bookmarkStart w:id="77" w:name="_Toc17685"/>
      <w:r>
        <w:rPr>
          <w:rFonts w:hint="eastAsia" w:ascii="Times New Roman" w:hAnsi="Times New Roman" w:eastAsia="楷体_GB2312" w:cs="楷体_GB2312"/>
          <w:b/>
          <w:color w:val="auto"/>
          <w:sz w:val="32"/>
          <w:szCs w:val="32"/>
          <w:highlight w:val="none"/>
        </w:rPr>
        <w:t>预算绩效管理情况</w:t>
      </w:r>
      <w:bookmarkEnd w:id="77"/>
    </w:p>
    <w:p w14:paraId="44C92AB1">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根据预算绩效管理要求，遂宁市职业技术学校在年初预算编制阶段，组织对所有项目开展了预算事前绩效评估，对各个项目编制了绩效目标，预算执行过程中，均对各个项目开展绩效监控，年终执行完毕后，对各个项目开展了绩效目标完成情况自评。</w:t>
      </w:r>
    </w:p>
    <w:p w14:paraId="65EC0A69">
      <w:pPr>
        <w:pageBreakBefore w:val="0"/>
        <w:kinsoku/>
        <w:wordWrap/>
        <w:overflowPunct/>
        <w:topLinePunct w:val="0"/>
        <w:autoSpaceDE/>
        <w:autoSpaceDN/>
        <w:bidi w:val="0"/>
        <w:snapToGrid w:val="0"/>
        <w:spacing w:line="360" w:lineRule="auto"/>
        <w:ind w:firstLine="632" w:firstLineChars="200"/>
        <w:rPr>
          <w:rFonts w:hint="eastAsia" w:ascii="Times New Roman" w:hAnsi="Times New Roman" w:eastAsia="黑体"/>
          <w:color w:val="auto"/>
          <w:sz w:val="44"/>
          <w:szCs w:val="44"/>
          <w:highlight w:val="none"/>
        </w:rPr>
      </w:pPr>
      <w:r>
        <w:rPr>
          <w:rFonts w:hint="eastAsia" w:ascii="仿宋_GB2312" w:eastAsia="仿宋_GB2312"/>
          <w:sz w:val="32"/>
          <w:szCs w:val="32"/>
        </w:rPr>
        <w:t>本部门按要求对202</w:t>
      </w:r>
      <w:r>
        <w:rPr>
          <w:rFonts w:hint="eastAsia" w:ascii="仿宋_GB2312" w:eastAsia="仿宋_GB2312"/>
          <w:sz w:val="32"/>
          <w:szCs w:val="32"/>
          <w:lang w:val="en-US" w:eastAsia="zh-CN"/>
        </w:rPr>
        <w:t>4</w:t>
      </w:r>
      <w:r>
        <w:rPr>
          <w:rFonts w:hint="eastAsia" w:ascii="仿宋_GB2312" w:eastAsia="仿宋_GB2312"/>
          <w:sz w:val="32"/>
          <w:szCs w:val="32"/>
        </w:rPr>
        <w:t>年部门整体支出开展绩效自评，从评价情况来看各个项目都有序开展，并取得了良好的效果。</w:t>
      </w:r>
      <w:r>
        <w:rPr>
          <w:rFonts w:hint="eastAsia" w:ascii="仿宋_GB2312" w:eastAsia="仿宋_GB2312"/>
          <w:sz w:val="32"/>
          <w:szCs w:val="32"/>
          <w:lang w:val="en-US" w:eastAsia="zh-CN"/>
        </w:rPr>
        <w:t>三名工程</w:t>
      </w:r>
      <w:r>
        <w:rPr>
          <w:rFonts w:hint="eastAsia" w:ascii="仿宋_GB2312" w:eastAsia="仿宋_GB2312"/>
          <w:sz w:val="32"/>
          <w:szCs w:val="32"/>
        </w:rPr>
        <w:t>建设顺利</w:t>
      </w:r>
      <w:r>
        <w:rPr>
          <w:rFonts w:hint="eastAsia" w:ascii="仿宋_GB2312" w:eastAsia="仿宋_GB2312"/>
          <w:sz w:val="32"/>
          <w:szCs w:val="32"/>
          <w:lang w:val="en-US" w:eastAsia="zh-CN"/>
        </w:rPr>
        <w:t>实施并取得良好的效果</w:t>
      </w:r>
      <w:r>
        <w:rPr>
          <w:rFonts w:hint="eastAsia" w:ascii="仿宋_GB2312" w:eastAsia="仿宋_GB2312"/>
          <w:sz w:val="32"/>
          <w:szCs w:val="32"/>
        </w:rPr>
        <w:t>。</w:t>
      </w:r>
      <w:bookmarkStart w:id="78" w:name="_Toc15396613"/>
      <w:bookmarkStart w:id="79" w:name="_Toc15377225"/>
    </w:p>
    <w:p w14:paraId="0012462A">
      <w:pPr>
        <w:pageBreakBefore w:val="0"/>
        <w:numPr>
          <w:ilvl w:val="0"/>
          <w:numId w:val="0"/>
        </w:numPr>
        <w:kinsoku/>
        <w:wordWrap/>
        <w:overflowPunct/>
        <w:topLinePunct w:val="0"/>
        <w:autoSpaceDE/>
        <w:autoSpaceDN/>
        <w:bidi w:val="0"/>
        <w:snapToGrid w:val="0"/>
        <w:spacing w:line="360" w:lineRule="auto"/>
        <w:ind w:left="0" w:leftChars="0" w:firstLine="0" w:firstLineChars="0"/>
        <w:jc w:val="center"/>
        <w:outlineLvl w:val="9"/>
        <w:rPr>
          <w:rFonts w:hint="eastAsia" w:ascii="Times New Roman" w:hAnsi="Times New Roman" w:eastAsia="黑体"/>
          <w:color w:val="auto"/>
          <w:sz w:val="44"/>
          <w:szCs w:val="44"/>
          <w:highlight w:val="none"/>
        </w:rPr>
      </w:pPr>
    </w:p>
    <w:p w14:paraId="46C24FE9">
      <w:pPr>
        <w:pStyle w:val="2"/>
        <w:rPr>
          <w:rFonts w:hint="eastAsia" w:ascii="Times New Roman" w:hAnsi="Times New Roman" w:eastAsia="黑体"/>
          <w:color w:val="auto"/>
          <w:sz w:val="44"/>
          <w:szCs w:val="44"/>
          <w:highlight w:val="none"/>
        </w:rPr>
      </w:pPr>
    </w:p>
    <w:p w14:paraId="08FFA45F">
      <w:pPr>
        <w:rPr>
          <w:rFonts w:hint="eastAsia" w:ascii="Times New Roman" w:hAnsi="Times New Roman" w:eastAsia="黑体"/>
          <w:color w:val="auto"/>
          <w:sz w:val="44"/>
          <w:szCs w:val="44"/>
          <w:highlight w:val="none"/>
        </w:rPr>
      </w:pPr>
    </w:p>
    <w:p w14:paraId="36DD9FA7">
      <w:pPr>
        <w:pStyle w:val="2"/>
        <w:rPr>
          <w:rFonts w:hint="eastAsia" w:ascii="Times New Roman" w:hAnsi="Times New Roman" w:eastAsia="黑体"/>
          <w:color w:val="auto"/>
          <w:sz w:val="44"/>
          <w:szCs w:val="44"/>
          <w:highlight w:val="none"/>
        </w:rPr>
      </w:pPr>
    </w:p>
    <w:p w14:paraId="7F36A28F">
      <w:pPr>
        <w:rPr>
          <w:rFonts w:hint="eastAsia"/>
        </w:rPr>
      </w:pPr>
    </w:p>
    <w:p w14:paraId="41EF01FE">
      <w:pPr>
        <w:pageBreakBefore w:val="0"/>
        <w:numPr>
          <w:ilvl w:val="0"/>
          <w:numId w:val="0"/>
        </w:numPr>
        <w:kinsoku/>
        <w:wordWrap/>
        <w:overflowPunct/>
        <w:topLinePunct w:val="0"/>
        <w:autoSpaceDE/>
        <w:autoSpaceDN/>
        <w:bidi w:val="0"/>
        <w:snapToGrid w:val="0"/>
        <w:spacing w:line="360" w:lineRule="auto"/>
        <w:jc w:val="center"/>
        <w:outlineLvl w:val="0"/>
        <w:rPr>
          <w:rFonts w:hint="eastAsia" w:ascii="Times New Roman" w:hAnsi="Times New Roman" w:eastAsia="黑体"/>
          <w:color w:val="auto"/>
          <w:sz w:val="44"/>
          <w:szCs w:val="44"/>
          <w:highlight w:val="none"/>
        </w:rPr>
      </w:pPr>
      <w:bookmarkStart w:id="80" w:name="_Toc20655"/>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78"/>
      <w:bookmarkEnd w:id="79"/>
      <w:bookmarkEnd w:id="80"/>
    </w:p>
    <w:p w14:paraId="341E1C73">
      <w:pPr>
        <w:pageBreakBefore w:val="0"/>
        <w:kinsoku/>
        <w:wordWrap/>
        <w:overflowPunct/>
        <w:topLinePunct w:val="0"/>
        <w:autoSpaceDE/>
        <w:autoSpaceDN/>
        <w:bidi w:val="0"/>
        <w:snapToGrid w:val="0"/>
        <w:spacing w:line="360" w:lineRule="auto"/>
        <w:jc w:val="left"/>
        <w:rPr>
          <w:rFonts w:ascii="Times New Roman" w:hAnsi="Times New Roman"/>
          <w:b/>
          <w:color w:val="auto"/>
          <w:sz w:val="44"/>
          <w:szCs w:val="44"/>
          <w:highlight w:val="none"/>
        </w:rPr>
      </w:pPr>
    </w:p>
    <w:p w14:paraId="2E56B3FF">
      <w:pPr>
        <w:pageBreakBefore w:val="0"/>
        <w:kinsoku/>
        <w:wordWrap/>
        <w:overflowPunct/>
        <w:topLinePunct w:val="0"/>
        <w:autoSpaceDE/>
        <w:autoSpaceDN/>
        <w:bidi w:val="0"/>
        <w:snapToGrid w:val="0"/>
        <w:spacing w:line="360" w:lineRule="auto"/>
        <w:ind w:firstLine="632" w:firstLineChars="200"/>
        <w:outlineLvl w:val="9"/>
        <w:rPr>
          <w:rFonts w:hint="eastAsia" w:ascii="仿宋_GB2312" w:eastAsia="仿宋_GB2312"/>
          <w:sz w:val="32"/>
          <w:szCs w:val="32"/>
          <w:lang w:eastAsia="zh-CN"/>
        </w:rPr>
      </w:pPr>
      <w:bookmarkStart w:id="81" w:name="_Toc14863"/>
      <w:r>
        <w:rPr>
          <w:rFonts w:hint="eastAsia" w:ascii="仿宋_GB2312" w:eastAsia="仿宋_GB2312"/>
          <w:sz w:val="32"/>
          <w:szCs w:val="32"/>
          <w:lang w:eastAsia="zh-CN"/>
        </w:rPr>
        <w:t>1.财政拨款收入：指单位从同级财政部门取得的财政预算资金。</w:t>
      </w:r>
      <w:bookmarkEnd w:id="81"/>
    </w:p>
    <w:p w14:paraId="03A88848">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2.事业收入：指事业单位开展专业业务活动及辅助活动取得的收入。如学生住宿费、学费、短期培训费等。</w:t>
      </w:r>
    </w:p>
    <w:p w14:paraId="432ACF44">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 xml:space="preserve">3.其他收入：指单位取得的除上述收入以外的各项收入。主要是财政上年末收回资金，当年年初要回该笔资金。。  </w:t>
      </w:r>
    </w:p>
    <w:p w14:paraId="1301CE52">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 xml:space="preserve">4.年初结转和结余：指以前年度尚未完成、结转到本年按有关规定继续使用的资金。 </w:t>
      </w:r>
    </w:p>
    <w:p w14:paraId="13D03C32">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5</w:t>
      </w:r>
      <w:r>
        <w:rPr>
          <w:rFonts w:hint="eastAsia" w:ascii="仿宋_GB2312" w:eastAsia="仿宋_GB2312"/>
          <w:sz w:val="32"/>
          <w:szCs w:val="32"/>
          <w:lang w:val="en-US" w:eastAsia="zh-CN"/>
        </w:rPr>
        <w:t>.</w:t>
      </w:r>
      <w:r>
        <w:rPr>
          <w:rFonts w:hint="eastAsia" w:ascii="仿宋_GB2312" w:eastAsia="仿宋_GB2312"/>
          <w:sz w:val="32"/>
          <w:szCs w:val="32"/>
        </w:rPr>
        <w:t>年末结转和结余：指单位按有关规定结转到下年或以后年度继续使用的资金。</w:t>
      </w:r>
    </w:p>
    <w:p w14:paraId="32EF2CC7">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6.教育（类）2050302中等职业教育：指中等职业教育支出。如教师工资，学生资助等。</w:t>
      </w:r>
    </w:p>
    <w:p w14:paraId="02DA4755">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7.社会保障和就业2080505  机关事业单位基本养老保险缴费。指教职工应由单位缴纳的养老保险。</w:t>
      </w:r>
    </w:p>
    <w:p w14:paraId="6FF83466">
      <w:pPr>
        <w:pageBreakBefore w:val="0"/>
        <w:kinsoku/>
        <w:wordWrap/>
        <w:overflowPunct/>
        <w:topLinePunct w:val="0"/>
        <w:autoSpaceDE/>
        <w:autoSpaceDN/>
        <w:bidi w:val="0"/>
        <w:snapToGrid w:val="0"/>
        <w:spacing w:line="360" w:lineRule="auto"/>
        <w:ind w:firstLine="632" w:firstLineChars="200"/>
        <w:rPr>
          <w:rFonts w:hint="eastAsia" w:ascii="仿宋_GB2312" w:eastAsia="仿宋_GB2312"/>
          <w:sz w:val="32"/>
          <w:szCs w:val="32"/>
        </w:rPr>
      </w:pPr>
      <w:r>
        <w:rPr>
          <w:rFonts w:hint="eastAsia" w:ascii="仿宋_GB2312" w:eastAsia="仿宋_GB2312"/>
          <w:sz w:val="32"/>
          <w:szCs w:val="32"/>
        </w:rPr>
        <w:t>8.医疗卫生与计划生育2101102 事业单位医疗：指事业单位员工应由单位缴纳的医疗保险费。</w:t>
      </w:r>
    </w:p>
    <w:p w14:paraId="6B18D5BA">
      <w:pPr>
        <w:snapToGrid w:val="0"/>
        <w:spacing w:line="360" w:lineRule="auto"/>
        <w:ind w:firstLine="632" w:firstLineChars="200"/>
        <w:rPr>
          <w:rFonts w:ascii="仿宋_GB2312" w:eastAsia="仿宋_GB2312"/>
          <w:color w:val="auto"/>
          <w:sz w:val="32"/>
          <w:szCs w:val="32"/>
          <w:highlight w:val="none"/>
        </w:rPr>
      </w:pPr>
      <w:r>
        <w:rPr>
          <w:rFonts w:hint="eastAsia" w:ascii="仿宋_GB2312" w:eastAsia="仿宋_GB2312"/>
          <w:sz w:val="32"/>
          <w:szCs w:val="32"/>
        </w:rPr>
        <w:t>9.住房保障2210201 住房公积金：指单位职工应由单位缴纳的住房公积金。</w:t>
      </w:r>
    </w:p>
    <w:p w14:paraId="2A4FE67D">
      <w:pPr>
        <w:pageBreakBefore w:val="0"/>
        <w:kinsoku/>
        <w:wordWrap/>
        <w:overflowPunct/>
        <w:topLinePunct w:val="0"/>
        <w:autoSpaceDE/>
        <w:autoSpaceDN/>
        <w:bidi w:val="0"/>
        <w:snapToGrid w:val="0"/>
        <w:spacing w:line="360" w:lineRule="auto"/>
        <w:ind w:firstLine="632"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.基本支出：指为保障机构正常运转、完成日常工作任务而发生的人员支出和公用支出。</w:t>
      </w:r>
    </w:p>
    <w:p w14:paraId="2FE02FEF">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11</w:t>
      </w:r>
      <w:r>
        <w:rPr>
          <w:rFonts w:hint="eastAsia" w:ascii="Times New Roman" w:hAnsi="Times New Roman" w:eastAsia="仿宋_GB2312" w:cs="仿宋_GB2312"/>
          <w:color w:val="auto"/>
          <w:kern w:val="2"/>
          <w:sz w:val="32"/>
          <w:szCs w:val="32"/>
          <w:highlight w:val="none"/>
          <w:lang w:val="en-US" w:eastAsia="zh-CN" w:bidi="ar-SA"/>
        </w:rPr>
        <w:t xml:space="preserve">.项目支出：指在基本支出之外为完成特定行政任务和事业发展目标所发生的支出。 </w:t>
      </w:r>
    </w:p>
    <w:p w14:paraId="72EDCAD0">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12</w:t>
      </w:r>
      <w:r>
        <w:rPr>
          <w:rFonts w:hint="eastAsia" w:ascii="Times New Roman" w:hAnsi="Times New Roman" w:eastAsia="仿宋_GB2312" w:cs="仿宋_GB2312"/>
          <w:color w:val="auto"/>
          <w:kern w:val="2"/>
          <w:sz w:val="32"/>
          <w:szCs w:val="32"/>
          <w:highlight w:val="none"/>
          <w:lang w:val="en-US" w:eastAsia="zh-CN" w:bidi="ar-SA"/>
        </w:rPr>
        <w:t>.经营支出：指事业单位在专业业务活动及其辅助活动之外开展非独立核算经营活动发生的支出。</w:t>
      </w:r>
    </w:p>
    <w:p w14:paraId="6B31B3B9">
      <w:pPr>
        <w:pageBreakBefore w:val="0"/>
        <w:kinsoku/>
        <w:wordWrap/>
        <w:overflowPunct/>
        <w:topLinePunct w:val="0"/>
        <w:autoSpaceDE/>
        <w:autoSpaceDN/>
        <w:bidi w:val="0"/>
        <w:snapToGrid w:val="0"/>
        <w:spacing w:line="360" w:lineRule="auto"/>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三公</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经费：指</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8CA93BC">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bookmarkStart w:id="82" w:name="_Toc15396614"/>
      <w:bookmarkStart w:id="83" w:name="_Toc15377226"/>
    </w:p>
    <w:p w14:paraId="7AEAD02D">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p>
    <w:p w14:paraId="1405D8FB">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p>
    <w:p w14:paraId="601D5D21">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p>
    <w:p w14:paraId="33612293">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p>
    <w:p w14:paraId="782A9B52">
      <w:pPr>
        <w:pStyle w:val="2"/>
        <w:pageBreakBefore w:val="0"/>
        <w:kinsoku/>
        <w:wordWrap/>
        <w:overflowPunct/>
        <w:topLinePunct w:val="0"/>
        <w:autoSpaceDE/>
        <w:autoSpaceDN/>
        <w:bidi w:val="0"/>
        <w:snapToGrid w:val="0"/>
        <w:spacing w:line="360" w:lineRule="auto"/>
        <w:rPr>
          <w:rFonts w:hint="eastAsia" w:ascii="Times New Roman" w:hAnsi="Times New Roman" w:eastAsia="仿宋_GB2312" w:cs="仿宋_GB2312"/>
          <w:color w:val="auto"/>
          <w:kern w:val="2"/>
          <w:sz w:val="32"/>
          <w:szCs w:val="32"/>
          <w:highlight w:val="none"/>
          <w:lang w:val="en-US" w:eastAsia="zh-CN" w:bidi="ar-SA"/>
        </w:rPr>
      </w:pPr>
    </w:p>
    <w:p w14:paraId="0309C695">
      <w:pPr>
        <w:pageBreakBefore w:val="0"/>
        <w:kinsoku/>
        <w:wordWrap/>
        <w:overflowPunct/>
        <w:topLinePunct w:val="0"/>
        <w:autoSpaceDE/>
        <w:autoSpaceDN/>
        <w:bidi w:val="0"/>
        <w:snapToGrid w:val="0"/>
        <w:spacing w:line="360" w:lineRule="auto"/>
        <w:rPr>
          <w:rFonts w:hint="eastAsia" w:ascii="Times New Roman" w:hAnsi="Times New Roman" w:eastAsia="仿宋_GB2312" w:cs="仿宋_GB2312"/>
          <w:color w:val="auto"/>
          <w:kern w:val="2"/>
          <w:sz w:val="32"/>
          <w:szCs w:val="32"/>
          <w:highlight w:val="none"/>
          <w:lang w:val="en-US" w:eastAsia="zh-CN" w:bidi="ar-SA"/>
        </w:rPr>
      </w:pPr>
    </w:p>
    <w:p w14:paraId="7CAB437A">
      <w:pPr>
        <w:pStyle w:val="2"/>
        <w:pageBreakBefore w:val="0"/>
        <w:kinsoku/>
        <w:wordWrap/>
        <w:overflowPunct/>
        <w:topLinePunct w:val="0"/>
        <w:autoSpaceDE/>
        <w:autoSpaceDN/>
        <w:bidi w:val="0"/>
        <w:snapToGrid w:val="0"/>
        <w:spacing w:line="360" w:lineRule="auto"/>
        <w:rPr>
          <w:rFonts w:hint="eastAsia" w:ascii="Times New Roman" w:hAnsi="Times New Roman" w:eastAsia="仿宋_GB2312" w:cs="仿宋_GB2312"/>
          <w:color w:val="auto"/>
          <w:kern w:val="2"/>
          <w:sz w:val="32"/>
          <w:szCs w:val="32"/>
          <w:highlight w:val="none"/>
          <w:lang w:val="en-US" w:eastAsia="zh-CN" w:bidi="ar-SA"/>
        </w:rPr>
      </w:pPr>
    </w:p>
    <w:p w14:paraId="7F8E5024">
      <w:pPr>
        <w:pageBreakBefore w:val="0"/>
        <w:kinsoku/>
        <w:wordWrap/>
        <w:overflowPunct/>
        <w:topLinePunct w:val="0"/>
        <w:autoSpaceDE/>
        <w:autoSpaceDN/>
        <w:bidi w:val="0"/>
        <w:snapToGrid w:val="0"/>
        <w:spacing w:line="360" w:lineRule="auto"/>
        <w:rPr>
          <w:rFonts w:hint="eastAsia"/>
          <w:lang w:val="en-US" w:eastAsia="zh-CN"/>
        </w:rPr>
      </w:pPr>
    </w:p>
    <w:p w14:paraId="07E454C4">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p>
    <w:p w14:paraId="670943D1">
      <w:pPr>
        <w:pageBreakBefore w:val="0"/>
        <w:kinsoku/>
        <w:wordWrap/>
        <w:overflowPunct/>
        <w:topLinePunct w:val="0"/>
        <w:autoSpaceDE/>
        <w:autoSpaceDN/>
        <w:bidi w:val="0"/>
        <w:snapToGrid w:val="0"/>
        <w:spacing w:line="360" w:lineRule="auto"/>
        <w:jc w:val="center"/>
        <w:rPr>
          <w:rFonts w:hint="eastAsia" w:ascii="Times New Roman" w:hAnsi="Times New Roman" w:eastAsia="仿宋_GB2312" w:cs="仿宋_GB2312"/>
          <w:color w:val="auto"/>
          <w:kern w:val="2"/>
          <w:sz w:val="32"/>
          <w:szCs w:val="32"/>
          <w:highlight w:val="none"/>
          <w:lang w:val="en-US" w:eastAsia="zh-CN" w:bidi="ar-SA"/>
        </w:rPr>
      </w:pPr>
    </w:p>
    <w:p w14:paraId="77589953">
      <w:pPr>
        <w:pageBreakBefore w:val="0"/>
        <w:kinsoku/>
        <w:wordWrap/>
        <w:overflowPunct/>
        <w:topLinePunct w:val="0"/>
        <w:autoSpaceDE/>
        <w:autoSpaceDN/>
        <w:bidi w:val="0"/>
        <w:snapToGrid w:val="0"/>
        <w:spacing w:line="360" w:lineRule="auto"/>
        <w:jc w:val="center"/>
        <w:outlineLvl w:val="0"/>
        <w:rPr>
          <w:rFonts w:hint="eastAsia" w:ascii="Times New Roman" w:hAnsi="Times New Roman" w:eastAsia="黑体"/>
          <w:b w:val="0"/>
          <w:color w:val="auto"/>
          <w:highlight w:val="none"/>
          <w:lang w:eastAsia="zh-CN"/>
        </w:rPr>
      </w:pPr>
      <w:bookmarkStart w:id="84" w:name="_Toc17937"/>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82"/>
      <w:bookmarkEnd w:id="84"/>
    </w:p>
    <w:p w14:paraId="77CD4DA8">
      <w:pPr>
        <w:keepNext w:val="0"/>
        <w:keepLines w:val="0"/>
        <w:pageBreakBefore w:val="0"/>
        <w:kinsoku/>
        <w:wordWrap/>
        <w:overflowPunct/>
        <w:topLinePunct w:val="0"/>
        <w:autoSpaceDE/>
        <w:autoSpaceDN/>
        <w:bidi w:val="0"/>
        <w:snapToGrid w:val="0"/>
        <w:spacing w:line="360" w:lineRule="auto"/>
        <w:jc w:val="left"/>
        <w:textAlignment w:val="auto"/>
        <w:outlineLvl w:val="9"/>
        <w:rPr>
          <w:rFonts w:hint="eastAsia" w:ascii="Times New Roman" w:hAnsi="Times New Roman" w:eastAsia="黑体" w:cs="黑体"/>
          <w:color w:val="FF0000"/>
          <w:sz w:val="32"/>
          <w:szCs w:val="32"/>
          <w:highlight w:val="none"/>
        </w:rPr>
      </w:pPr>
    </w:p>
    <w:p w14:paraId="6F0DDF7B">
      <w:pPr>
        <w:keepNext w:val="0"/>
        <w:keepLines w:val="0"/>
        <w:pageBreakBefore w:val="0"/>
        <w:kinsoku/>
        <w:wordWrap/>
        <w:overflowPunct/>
        <w:topLinePunct w:val="0"/>
        <w:autoSpaceDE/>
        <w:autoSpaceDN/>
        <w:bidi w:val="0"/>
        <w:snapToGrid w:val="0"/>
        <w:spacing w:line="360" w:lineRule="auto"/>
        <w:jc w:val="left"/>
        <w:textAlignment w:val="auto"/>
        <w:outlineLvl w:val="0"/>
        <w:rPr>
          <w:rFonts w:hint="eastAsia" w:ascii="Times New Roman" w:hAnsi="Times New Roman" w:eastAsia="黑体" w:cs="方正小标宋简体"/>
          <w:color w:val="auto"/>
          <w:sz w:val="44"/>
          <w:szCs w:val="44"/>
          <w:highlight w:val="none"/>
          <w:lang w:val="en-US" w:eastAsia="zh-CN"/>
        </w:rPr>
      </w:pPr>
      <w:bookmarkStart w:id="85" w:name="_Toc9222"/>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bookmarkEnd w:id="85"/>
    </w:p>
    <w:p w14:paraId="48E4A332">
      <w:pPr>
        <w:keepNext w:val="0"/>
        <w:keepLines w:val="0"/>
        <w:pageBreakBefore w:val="0"/>
        <w:widowControl/>
        <w:kinsoku/>
        <w:wordWrap/>
        <w:overflowPunct/>
        <w:topLinePunct w:val="0"/>
        <w:autoSpaceDE/>
        <w:autoSpaceDN/>
        <w:bidi w:val="0"/>
        <w:snapToGrid w:val="0"/>
        <w:spacing w:line="360" w:lineRule="auto"/>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13025F22">
      <w:pPr>
        <w:keepNext w:val="0"/>
        <w:keepLines w:val="0"/>
        <w:pageBreakBefore w:val="0"/>
        <w:widowControl/>
        <w:kinsoku/>
        <w:wordWrap/>
        <w:overflowPunct/>
        <w:topLinePunct w:val="0"/>
        <w:autoSpaceDE/>
        <w:autoSpaceDN/>
        <w:bidi w:val="0"/>
        <w:snapToGrid w:val="0"/>
        <w:spacing w:line="360" w:lineRule="auto"/>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eastAsia" w:eastAsia="方正小标宋简体" w:cs="Times New Roman"/>
          <w:b w:val="0"/>
          <w:bCs/>
          <w:sz w:val="44"/>
          <w:szCs w:val="44"/>
          <w:highlight w:val="none"/>
          <w:shd w:val="clear" w:color="auto" w:fill="FFFFFF"/>
          <w:lang w:val="en-US" w:eastAsia="zh-CN"/>
        </w:rPr>
        <w:t>遂宁市职业技术学校</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0F95CE25">
      <w:pPr>
        <w:keepNext w:val="0"/>
        <w:keepLines w:val="0"/>
        <w:pageBreakBefore w:val="0"/>
        <w:widowControl/>
        <w:kinsoku/>
        <w:wordWrap/>
        <w:overflowPunct/>
        <w:topLinePunct w:val="0"/>
        <w:autoSpaceDE/>
        <w:autoSpaceDN/>
        <w:bidi w:val="0"/>
        <w:adjustRightInd/>
        <w:snapToGrid w:val="0"/>
        <w:spacing w:line="360" w:lineRule="auto"/>
        <w:ind w:firstLine="0" w:firstLineChars="0"/>
        <w:contextualSpacing/>
        <w:jc w:val="center"/>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0D03E44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单位基本情况</w:t>
      </w:r>
    </w:p>
    <w:p w14:paraId="071271C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楷体_GB2312" w:cs="楷体_GB2312"/>
          <w:b/>
          <w:color w:val="auto"/>
          <w:sz w:val="32"/>
          <w:szCs w:val="32"/>
          <w:highlight w:val="none"/>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p>
    <w:p w14:paraId="2E0AEBC1">
      <w:pPr>
        <w:keepNext w:val="0"/>
        <w:keepLines w:val="0"/>
        <w:pageBreakBefore w:val="0"/>
        <w:widowControl/>
        <w:kinsoku/>
        <w:wordWrap/>
        <w:overflowPunct/>
        <w:topLinePunct w:val="0"/>
        <w:autoSpaceDE/>
        <w:autoSpaceDN/>
        <w:bidi w:val="0"/>
        <w:adjustRightInd w:val="0"/>
        <w:snapToGrid w:val="0"/>
        <w:spacing w:line="360" w:lineRule="auto"/>
        <w:ind w:firstLine="632" w:firstLineChars="200"/>
        <w:contextualSpacing/>
        <w:jc w:val="left"/>
        <w:textAlignment w:val="auto"/>
        <w:rPr>
          <w:rFonts w:hint="default"/>
        </w:rPr>
      </w:pPr>
      <w:r>
        <w:rPr>
          <w:rFonts w:hint="eastAsia" w:cs="仿宋_GB2312"/>
          <w:color w:val="auto"/>
          <w:kern w:val="0"/>
          <w:sz w:val="32"/>
          <w:szCs w:val="32"/>
          <w:shd w:val="clear" w:color="auto" w:fill="FFFFFF"/>
          <w:lang w:val="zh-CN"/>
        </w:rPr>
        <w:t>遂宁市职业技术学校是遂宁市教育局的下属二级预算单位，属于事业单位。无下级单位。</w:t>
      </w:r>
    </w:p>
    <w:p w14:paraId="031A8841">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eastAsia" w:ascii="Times New Roman" w:hAnsi="Times New Roman" w:eastAsia="楷体_GB2312" w:cs="楷体_GB2312"/>
          <w:b/>
          <w:color w:val="auto"/>
          <w:sz w:val="32"/>
          <w:szCs w:val="32"/>
          <w:highlight w:val="none"/>
          <w:lang w:val="zh-CN"/>
        </w:rPr>
      </w:pPr>
      <w:r>
        <w:rPr>
          <w:rFonts w:hint="default" w:ascii="Times New Roman" w:hAnsi="Times New Roman" w:eastAsia="楷体_GB2312" w:cs="楷体_GB2312"/>
          <w:b/>
          <w:color w:val="auto"/>
          <w:sz w:val="32"/>
          <w:szCs w:val="32"/>
          <w:highlight w:val="none"/>
          <w:lang w:val="zh-CN"/>
        </w:rPr>
        <w:t>机构职能</w:t>
      </w:r>
      <w:r>
        <w:rPr>
          <w:rFonts w:hint="eastAsia" w:ascii="Times New Roman" w:hAnsi="Times New Roman" w:eastAsia="楷体_GB2312" w:cs="楷体_GB2312"/>
          <w:b/>
          <w:color w:val="auto"/>
          <w:sz w:val="32"/>
          <w:szCs w:val="32"/>
          <w:highlight w:val="none"/>
          <w:lang w:val="zh-CN"/>
        </w:rPr>
        <w:t>。</w:t>
      </w:r>
    </w:p>
    <w:p w14:paraId="37AF97B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cs="仿宋_GB2312"/>
          <w:color w:val="auto"/>
          <w:kern w:val="0"/>
          <w:sz w:val="32"/>
          <w:szCs w:val="32"/>
          <w:shd w:val="clear" w:color="auto" w:fill="FFFFFF"/>
          <w:lang w:val="zh-CN"/>
        </w:rPr>
        <w:t>遂宁市职业技术学校（以下简称“市职校”）遂宁市职业技术学校是一所融高等教育、职业教育、师范教育、成人教育为一体的公办职业院校。学校以中等职业教育为办学方向，设有数控、学前教育、建筑工程施工、电子、旅游服务、酒店管理、汽修等专业，主要承担普通中职学历教育和成人学历教育。</w:t>
      </w:r>
    </w:p>
    <w:p w14:paraId="6BA2D65E">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44AAD5CE">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firstLine="632" w:firstLineChars="200"/>
        <w:contextualSpacing w:val="0"/>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eastAsia" w:cs="仿宋_GB2312"/>
          <w:color w:val="auto"/>
          <w:kern w:val="0"/>
          <w:sz w:val="32"/>
          <w:szCs w:val="32"/>
          <w:shd w:val="clear" w:color="auto" w:fill="FFFFFF"/>
          <w:lang w:val="zh-CN"/>
        </w:rPr>
        <w:t>机构编制人数</w:t>
      </w:r>
      <w:r>
        <w:rPr>
          <w:rFonts w:hint="eastAsia" w:cs="仿宋_GB2312"/>
          <w:color w:val="auto"/>
          <w:kern w:val="0"/>
          <w:sz w:val="32"/>
          <w:szCs w:val="32"/>
          <w:shd w:val="clear" w:color="auto" w:fill="FFFFFF"/>
        </w:rPr>
        <w:t>28</w:t>
      </w:r>
      <w:r>
        <w:rPr>
          <w:rFonts w:hint="eastAsia" w:cs="仿宋_GB2312"/>
          <w:color w:val="auto"/>
          <w:kern w:val="0"/>
          <w:sz w:val="32"/>
          <w:szCs w:val="32"/>
          <w:shd w:val="clear" w:color="auto" w:fill="FFFFFF"/>
          <w:lang w:val="en-US" w:eastAsia="zh-CN"/>
        </w:rPr>
        <w:t>3</w:t>
      </w:r>
      <w:r>
        <w:rPr>
          <w:rFonts w:hint="eastAsia" w:cs="仿宋_GB2312"/>
          <w:color w:val="auto"/>
          <w:kern w:val="0"/>
          <w:sz w:val="32"/>
          <w:szCs w:val="32"/>
          <w:shd w:val="clear" w:color="auto" w:fill="FFFFFF"/>
        </w:rPr>
        <w:t>人，年末在职在编人员2</w:t>
      </w:r>
      <w:r>
        <w:rPr>
          <w:rFonts w:hint="eastAsia" w:cs="仿宋_GB2312"/>
          <w:color w:val="auto"/>
          <w:kern w:val="0"/>
          <w:sz w:val="32"/>
          <w:szCs w:val="32"/>
          <w:shd w:val="clear" w:color="auto" w:fill="FFFFFF"/>
          <w:lang w:val="en-US" w:eastAsia="zh-CN"/>
        </w:rPr>
        <w:t>28</w:t>
      </w:r>
      <w:r>
        <w:rPr>
          <w:rFonts w:hint="eastAsia" w:cs="仿宋_GB2312"/>
          <w:color w:val="auto"/>
          <w:kern w:val="0"/>
          <w:sz w:val="32"/>
          <w:szCs w:val="32"/>
          <w:shd w:val="clear" w:color="auto" w:fill="FFFFFF"/>
        </w:rPr>
        <w:t>人，外聘人员</w:t>
      </w:r>
      <w:r>
        <w:rPr>
          <w:rFonts w:hint="eastAsia" w:cs="仿宋_GB2312"/>
          <w:color w:val="auto"/>
          <w:kern w:val="0"/>
          <w:sz w:val="32"/>
          <w:szCs w:val="32"/>
          <w:shd w:val="clear" w:color="auto" w:fill="FFFFFF"/>
          <w:lang w:val="en-US" w:eastAsia="zh-CN"/>
        </w:rPr>
        <w:t>28人。</w:t>
      </w:r>
    </w:p>
    <w:p w14:paraId="4B902F0F">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资金收支情况</w:t>
      </w:r>
    </w:p>
    <w:p w14:paraId="7E05A96E">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18C7EC89">
      <w:pPr>
        <w:pStyle w:val="29"/>
        <w:keepNext w:val="0"/>
        <w:keepLines w:val="0"/>
        <w:pageBreakBefore w:val="0"/>
        <w:kinsoku/>
        <w:wordWrap/>
        <w:overflowPunct/>
        <w:topLinePunct w:val="0"/>
        <w:autoSpaceDE/>
        <w:autoSpaceDN/>
        <w:bidi w:val="0"/>
        <w:adjustRightInd w:val="0"/>
        <w:snapToGrid w:val="0"/>
        <w:spacing w:line="360" w:lineRule="auto"/>
        <w:ind w:firstLine="632"/>
        <w:textAlignment w:val="auto"/>
        <w:rPr>
          <w:color w:val="auto"/>
          <w:sz w:val="32"/>
          <w:szCs w:val="32"/>
        </w:rPr>
      </w:pPr>
      <w:r>
        <w:rPr>
          <w:rFonts w:hint="eastAsia"/>
          <w:color w:val="auto"/>
          <w:sz w:val="32"/>
          <w:szCs w:val="32"/>
        </w:rPr>
        <w:t>202</w:t>
      </w:r>
      <w:r>
        <w:rPr>
          <w:rFonts w:hint="eastAsia"/>
          <w:color w:val="auto"/>
          <w:sz w:val="32"/>
          <w:szCs w:val="32"/>
          <w:lang w:val="en-US" w:eastAsia="zh-CN"/>
        </w:rPr>
        <w:t>4</w:t>
      </w:r>
      <w:r>
        <w:rPr>
          <w:rFonts w:hint="eastAsia"/>
          <w:color w:val="auto"/>
          <w:sz w:val="32"/>
          <w:szCs w:val="32"/>
        </w:rPr>
        <w:t>年</w:t>
      </w:r>
      <w:r>
        <w:rPr>
          <w:rFonts w:hint="eastAsia"/>
          <w:color w:val="auto"/>
          <w:sz w:val="32"/>
          <w:szCs w:val="32"/>
          <w:lang w:val="en-US" w:eastAsia="zh-CN"/>
        </w:rPr>
        <w:t>市职校</w:t>
      </w:r>
      <w:r>
        <w:rPr>
          <w:rFonts w:hint="eastAsia"/>
          <w:color w:val="auto"/>
          <w:sz w:val="32"/>
          <w:szCs w:val="32"/>
        </w:rPr>
        <w:t>校年初预算</w:t>
      </w:r>
      <w:r>
        <w:rPr>
          <w:rFonts w:hint="eastAsia"/>
          <w:color w:val="auto"/>
          <w:sz w:val="32"/>
          <w:szCs w:val="32"/>
          <w:lang w:val="en-US" w:eastAsia="zh-CN"/>
        </w:rPr>
        <w:t>3243.18</w:t>
      </w:r>
      <w:r>
        <w:rPr>
          <w:rFonts w:hint="eastAsia"/>
          <w:color w:val="auto"/>
          <w:sz w:val="32"/>
          <w:szCs w:val="32"/>
        </w:rPr>
        <w:t>万元，其中年初财政拨款</w:t>
      </w:r>
      <w:r>
        <w:rPr>
          <w:rFonts w:hint="eastAsia"/>
          <w:color w:val="auto"/>
          <w:sz w:val="32"/>
          <w:szCs w:val="32"/>
          <w:lang w:val="en-US" w:eastAsia="zh-CN"/>
        </w:rPr>
        <w:t>3045.08</w:t>
      </w:r>
      <w:r>
        <w:rPr>
          <w:rFonts w:hint="eastAsia"/>
          <w:color w:val="auto"/>
          <w:sz w:val="32"/>
          <w:szCs w:val="32"/>
        </w:rPr>
        <w:t>万元，年初无结转结余，中期调整</w:t>
      </w:r>
      <w:r>
        <w:rPr>
          <w:rFonts w:hint="eastAsia"/>
          <w:color w:val="auto"/>
          <w:sz w:val="32"/>
          <w:szCs w:val="32"/>
          <w:lang w:val="en-US" w:eastAsia="zh-CN"/>
        </w:rPr>
        <w:t>6971.90</w:t>
      </w:r>
      <w:r>
        <w:rPr>
          <w:rFonts w:hint="eastAsia"/>
          <w:color w:val="auto"/>
          <w:sz w:val="32"/>
          <w:szCs w:val="32"/>
        </w:rPr>
        <w:t>万元，</w:t>
      </w:r>
      <w:r>
        <w:rPr>
          <w:color w:val="auto"/>
          <w:sz w:val="32"/>
          <w:szCs w:val="32"/>
        </w:rPr>
        <w:t>调整后预算收入总额为</w:t>
      </w:r>
      <w:r>
        <w:rPr>
          <w:rFonts w:hint="eastAsia"/>
          <w:color w:val="auto"/>
          <w:sz w:val="32"/>
          <w:szCs w:val="32"/>
          <w:lang w:val="en-US" w:eastAsia="zh-CN"/>
        </w:rPr>
        <w:t>10215.08</w:t>
      </w:r>
      <w:r>
        <w:rPr>
          <w:rFonts w:hint="eastAsia"/>
          <w:color w:val="auto"/>
          <w:sz w:val="32"/>
          <w:szCs w:val="32"/>
        </w:rPr>
        <w:t>万元。</w:t>
      </w:r>
      <w:r>
        <w:rPr>
          <w:color w:val="auto"/>
          <w:sz w:val="32"/>
          <w:szCs w:val="32"/>
        </w:rPr>
        <w:t>具体情况详见表</w:t>
      </w: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1803"/>
        <w:gridCol w:w="2064"/>
        <w:gridCol w:w="2149"/>
      </w:tblGrid>
      <w:tr w14:paraId="22AD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494" w:type="dxa"/>
            <w:noWrap w:val="0"/>
            <w:vAlign w:val="center"/>
          </w:tcPr>
          <w:p w14:paraId="716C9DCB">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val="0"/>
                <w:color w:val="auto"/>
                <w:spacing w:val="-20"/>
                <w:sz w:val="28"/>
                <w:szCs w:val="28"/>
              </w:rPr>
            </w:pPr>
            <w:r>
              <w:rPr>
                <w:rFonts w:hint="eastAsia" w:ascii="Times New Roman" w:hAnsi="Times New Roman"/>
                <w:b/>
                <w:bCs w:val="0"/>
                <w:color w:val="auto"/>
                <w:spacing w:val="-20"/>
                <w:sz w:val="28"/>
                <w:szCs w:val="28"/>
              </w:rPr>
              <w:t>项目名称</w:t>
            </w:r>
          </w:p>
        </w:tc>
        <w:tc>
          <w:tcPr>
            <w:tcW w:w="1803" w:type="dxa"/>
            <w:noWrap w:val="0"/>
            <w:vAlign w:val="center"/>
          </w:tcPr>
          <w:p w14:paraId="757BA137">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val="0"/>
                <w:color w:val="auto"/>
                <w:spacing w:val="-20"/>
                <w:sz w:val="28"/>
                <w:szCs w:val="28"/>
              </w:rPr>
            </w:pPr>
            <w:r>
              <w:rPr>
                <w:rFonts w:hint="eastAsia" w:ascii="Times New Roman" w:hAnsi="Times New Roman"/>
                <w:b/>
                <w:bCs w:val="0"/>
                <w:color w:val="auto"/>
                <w:spacing w:val="-20"/>
                <w:sz w:val="28"/>
                <w:szCs w:val="28"/>
              </w:rPr>
              <w:t>年初预算</w:t>
            </w:r>
          </w:p>
        </w:tc>
        <w:tc>
          <w:tcPr>
            <w:tcW w:w="2064" w:type="dxa"/>
            <w:noWrap w:val="0"/>
            <w:vAlign w:val="center"/>
          </w:tcPr>
          <w:p w14:paraId="1DCF69E7">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val="0"/>
                <w:color w:val="auto"/>
                <w:spacing w:val="-20"/>
                <w:sz w:val="28"/>
                <w:szCs w:val="28"/>
              </w:rPr>
            </w:pPr>
            <w:r>
              <w:rPr>
                <w:rFonts w:hint="eastAsia" w:ascii="Times New Roman" w:hAnsi="Times New Roman"/>
                <w:b/>
                <w:bCs w:val="0"/>
                <w:color w:val="auto"/>
                <w:spacing w:val="-20"/>
                <w:sz w:val="28"/>
                <w:szCs w:val="28"/>
              </w:rPr>
              <w:t>中期调整</w:t>
            </w:r>
          </w:p>
        </w:tc>
        <w:tc>
          <w:tcPr>
            <w:tcW w:w="2149" w:type="dxa"/>
            <w:noWrap w:val="0"/>
            <w:vAlign w:val="center"/>
          </w:tcPr>
          <w:p w14:paraId="365B55DB">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val="0"/>
                <w:color w:val="auto"/>
                <w:spacing w:val="-20"/>
                <w:sz w:val="28"/>
                <w:szCs w:val="28"/>
              </w:rPr>
            </w:pPr>
            <w:r>
              <w:rPr>
                <w:rFonts w:hint="eastAsia" w:ascii="Times New Roman" w:hAnsi="Times New Roman"/>
                <w:b/>
                <w:bCs w:val="0"/>
                <w:color w:val="auto"/>
                <w:spacing w:val="-20"/>
                <w:sz w:val="28"/>
                <w:szCs w:val="28"/>
              </w:rPr>
              <w:t>年度总预算</w:t>
            </w:r>
          </w:p>
        </w:tc>
      </w:tr>
      <w:tr w14:paraId="71CB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494" w:type="dxa"/>
            <w:noWrap w:val="0"/>
            <w:vAlign w:val="center"/>
          </w:tcPr>
          <w:p w14:paraId="39F22C6D">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lang w:val="en-US" w:eastAsia="zh-CN"/>
              </w:rPr>
              <w:t>1.</w:t>
            </w:r>
            <w:r>
              <w:rPr>
                <w:rFonts w:hint="eastAsia" w:ascii="Times New Roman" w:hAnsi="Times New Roman"/>
                <w:b w:val="0"/>
                <w:bCs/>
                <w:color w:val="auto"/>
                <w:spacing w:val="-23"/>
                <w:w w:val="90"/>
                <w:sz w:val="28"/>
                <w:szCs w:val="28"/>
              </w:rPr>
              <w:t>一般公共预算财政拨款收入</w:t>
            </w:r>
          </w:p>
        </w:tc>
        <w:tc>
          <w:tcPr>
            <w:tcW w:w="1803" w:type="dxa"/>
            <w:noWrap w:val="0"/>
            <w:vAlign w:val="center"/>
          </w:tcPr>
          <w:p w14:paraId="6F92D1AC">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3243.18</w:t>
            </w:r>
          </w:p>
        </w:tc>
        <w:tc>
          <w:tcPr>
            <w:tcW w:w="2064" w:type="dxa"/>
            <w:noWrap w:val="0"/>
            <w:vAlign w:val="center"/>
          </w:tcPr>
          <w:p w14:paraId="25831B8C">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6971.90</w:t>
            </w:r>
          </w:p>
        </w:tc>
        <w:tc>
          <w:tcPr>
            <w:tcW w:w="2149" w:type="dxa"/>
            <w:noWrap w:val="0"/>
            <w:vAlign w:val="center"/>
          </w:tcPr>
          <w:p w14:paraId="15DAAA27">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10215.08</w:t>
            </w:r>
          </w:p>
        </w:tc>
      </w:tr>
      <w:tr w14:paraId="55B2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494" w:type="dxa"/>
            <w:noWrap w:val="0"/>
            <w:vAlign w:val="center"/>
          </w:tcPr>
          <w:p w14:paraId="65ED9C08">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lang w:val="en-US" w:eastAsia="zh-CN"/>
              </w:rPr>
              <w:t>2.</w:t>
            </w:r>
            <w:r>
              <w:rPr>
                <w:rFonts w:hint="eastAsia" w:ascii="Times New Roman" w:hAnsi="Times New Roman"/>
                <w:b w:val="0"/>
                <w:bCs/>
                <w:color w:val="auto"/>
                <w:spacing w:val="-23"/>
                <w:w w:val="90"/>
                <w:sz w:val="28"/>
                <w:szCs w:val="28"/>
              </w:rPr>
              <w:t>政府性基金财政拨款收入</w:t>
            </w:r>
          </w:p>
        </w:tc>
        <w:tc>
          <w:tcPr>
            <w:tcW w:w="1803" w:type="dxa"/>
            <w:noWrap w:val="0"/>
            <w:vAlign w:val="center"/>
          </w:tcPr>
          <w:p w14:paraId="58121322">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rPr>
              <w:t>0</w:t>
            </w:r>
          </w:p>
        </w:tc>
        <w:tc>
          <w:tcPr>
            <w:tcW w:w="2064" w:type="dxa"/>
            <w:noWrap w:val="0"/>
            <w:vAlign w:val="center"/>
          </w:tcPr>
          <w:p w14:paraId="1697467D">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0</w:t>
            </w:r>
          </w:p>
        </w:tc>
        <w:tc>
          <w:tcPr>
            <w:tcW w:w="2149" w:type="dxa"/>
            <w:noWrap w:val="0"/>
            <w:vAlign w:val="center"/>
          </w:tcPr>
          <w:p w14:paraId="040DA477">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0</w:t>
            </w:r>
          </w:p>
        </w:tc>
      </w:tr>
      <w:tr w14:paraId="3077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494" w:type="dxa"/>
            <w:noWrap w:val="0"/>
            <w:vAlign w:val="center"/>
          </w:tcPr>
          <w:p w14:paraId="1076D91C">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rPr>
              <w:t>年初结转结余</w:t>
            </w:r>
          </w:p>
        </w:tc>
        <w:tc>
          <w:tcPr>
            <w:tcW w:w="1803" w:type="dxa"/>
            <w:noWrap w:val="0"/>
            <w:vAlign w:val="center"/>
          </w:tcPr>
          <w:p w14:paraId="46C5463B">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rPr>
              <w:t>0</w:t>
            </w:r>
          </w:p>
        </w:tc>
        <w:tc>
          <w:tcPr>
            <w:tcW w:w="2064" w:type="dxa"/>
            <w:noWrap w:val="0"/>
            <w:vAlign w:val="center"/>
          </w:tcPr>
          <w:p w14:paraId="3FB7A5BD">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rPr>
              <w:t>0</w:t>
            </w:r>
          </w:p>
        </w:tc>
        <w:tc>
          <w:tcPr>
            <w:tcW w:w="2149" w:type="dxa"/>
            <w:noWrap w:val="0"/>
            <w:vAlign w:val="center"/>
          </w:tcPr>
          <w:p w14:paraId="35706DFA">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rPr>
              <w:t>0</w:t>
            </w:r>
          </w:p>
        </w:tc>
      </w:tr>
      <w:tr w14:paraId="03E1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494" w:type="dxa"/>
            <w:noWrap w:val="0"/>
            <w:vAlign w:val="center"/>
          </w:tcPr>
          <w:p w14:paraId="362F13C6">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rPr>
            </w:pPr>
            <w:r>
              <w:rPr>
                <w:rFonts w:hint="eastAsia" w:ascii="Times New Roman" w:hAnsi="Times New Roman"/>
                <w:b w:val="0"/>
                <w:bCs/>
                <w:color w:val="auto"/>
                <w:spacing w:val="-23"/>
                <w:w w:val="90"/>
                <w:sz w:val="28"/>
                <w:szCs w:val="28"/>
              </w:rPr>
              <w:t>总计</w:t>
            </w:r>
          </w:p>
        </w:tc>
        <w:tc>
          <w:tcPr>
            <w:tcW w:w="1803" w:type="dxa"/>
            <w:noWrap w:val="0"/>
            <w:vAlign w:val="center"/>
          </w:tcPr>
          <w:p w14:paraId="640A0401">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3243.18</w:t>
            </w:r>
          </w:p>
        </w:tc>
        <w:tc>
          <w:tcPr>
            <w:tcW w:w="2064" w:type="dxa"/>
            <w:noWrap w:val="0"/>
            <w:vAlign w:val="center"/>
          </w:tcPr>
          <w:p w14:paraId="0C32D5B2">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6971.90</w:t>
            </w:r>
          </w:p>
        </w:tc>
        <w:tc>
          <w:tcPr>
            <w:tcW w:w="2149" w:type="dxa"/>
            <w:noWrap w:val="0"/>
            <w:vAlign w:val="center"/>
          </w:tcPr>
          <w:p w14:paraId="4F9004B7">
            <w:pPr>
              <w:pStyle w:val="28"/>
              <w:pageBreakBefore w:val="0"/>
              <w:kinsoku/>
              <w:wordWrap/>
              <w:overflowPunct/>
              <w:topLinePunct w:val="0"/>
              <w:autoSpaceDE/>
              <w:autoSpaceDN/>
              <w:bidi w:val="0"/>
              <w:snapToGrid w:val="0"/>
              <w:spacing w:line="360" w:lineRule="auto"/>
              <w:jc w:val="center"/>
              <w:rPr>
                <w:rFonts w:hint="eastAsia"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10215.08</w:t>
            </w:r>
          </w:p>
        </w:tc>
      </w:tr>
    </w:tbl>
    <w:p w14:paraId="74979556">
      <w:pPr>
        <w:pStyle w:val="32"/>
        <w:pageBreakBefore w:val="0"/>
        <w:kinsoku/>
        <w:wordWrap/>
        <w:overflowPunct/>
        <w:topLinePunct w:val="0"/>
        <w:autoSpaceDE/>
        <w:autoSpaceDN/>
        <w:bidi w:val="0"/>
        <w:snapToGrid w:val="0"/>
        <w:spacing w:before="0" w:after="0" w:line="360" w:lineRule="auto"/>
        <w:jc w:val="center"/>
        <w:rPr>
          <w:color w:val="auto"/>
          <w:sz w:val="28"/>
          <w:szCs w:val="28"/>
        </w:rPr>
      </w:pPr>
      <w:r>
        <w:rPr>
          <w:rFonts w:hint="eastAsia"/>
          <w:color w:val="auto"/>
          <w:sz w:val="28"/>
          <w:szCs w:val="28"/>
          <w:lang w:eastAsia="zh-CN"/>
        </w:rPr>
        <w:t>（</w:t>
      </w:r>
      <w:r>
        <w:rPr>
          <w:color w:val="auto"/>
          <w:sz w:val="28"/>
          <w:szCs w:val="28"/>
        </w:rPr>
        <w:t>年度预算表</w:t>
      </w:r>
      <w:r>
        <w:rPr>
          <w:rFonts w:hint="eastAsia"/>
          <w:color w:val="auto"/>
          <w:sz w:val="28"/>
          <w:szCs w:val="28"/>
          <w:lang w:eastAsia="zh-CN"/>
        </w:rPr>
        <w:t>，</w:t>
      </w:r>
      <w:r>
        <w:rPr>
          <w:rFonts w:hint="eastAsia"/>
          <w:color w:val="auto"/>
          <w:sz w:val="28"/>
          <w:szCs w:val="28"/>
        </w:rPr>
        <w:t>单位：万元</w:t>
      </w:r>
      <w:r>
        <w:rPr>
          <w:rFonts w:hint="eastAsia"/>
          <w:color w:val="auto"/>
          <w:sz w:val="28"/>
          <w:szCs w:val="28"/>
          <w:lang w:eastAsia="zh-CN"/>
        </w:rPr>
        <w:t>）</w:t>
      </w:r>
    </w:p>
    <w:p w14:paraId="382827B6">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2FE042D7">
      <w:pPr>
        <w:pStyle w:val="29"/>
        <w:keepNext w:val="0"/>
        <w:keepLines w:val="0"/>
        <w:pageBreakBefore w:val="0"/>
        <w:kinsoku/>
        <w:wordWrap/>
        <w:overflowPunct/>
        <w:topLinePunct w:val="0"/>
        <w:autoSpaceDE/>
        <w:autoSpaceDN/>
        <w:bidi w:val="0"/>
        <w:snapToGrid w:val="0"/>
        <w:spacing w:line="360" w:lineRule="auto"/>
        <w:ind w:firstLine="632"/>
        <w:textAlignment w:val="auto"/>
        <w:rPr>
          <w:color w:val="auto"/>
          <w:sz w:val="32"/>
          <w:szCs w:val="32"/>
        </w:rPr>
      </w:pPr>
      <w:r>
        <w:rPr>
          <w:color w:val="auto"/>
          <w:sz w:val="32"/>
          <w:szCs w:val="32"/>
        </w:rPr>
        <w:t>202</w:t>
      </w:r>
      <w:r>
        <w:rPr>
          <w:rFonts w:hint="eastAsia"/>
          <w:color w:val="auto"/>
          <w:sz w:val="32"/>
          <w:szCs w:val="32"/>
          <w:lang w:val="en-US" w:eastAsia="zh-CN"/>
        </w:rPr>
        <w:t>4</w:t>
      </w:r>
      <w:r>
        <w:rPr>
          <w:color w:val="auto"/>
          <w:sz w:val="32"/>
          <w:szCs w:val="32"/>
        </w:rPr>
        <w:t>年度，</w:t>
      </w:r>
      <w:r>
        <w:rPr>
          <w:rFonts w:hint="eastAsia"/>
          <w:color w:val="auto"/>
          <w:sz w:val="32"/>
          <w:szCs w:val="32"/>
        </w:rPr>
        <w:t>市职校</w:t>
      </w:r>
      <w:r>
        <w:rPr>
          <w:color w:val="auto"/>
          <w:sz w:val="32"/>
          <w:szCs w:val="32"/>
        </w:rPr>
        <w:t>财政支出年初预算为</w:t>
      </w:r>
      <w:r>
        <w:rPr>
          <w:rFonts w:hint="eastAsia"/>
          <w:color w:val="auto"/>
          <w:sz w:val="32"/>
          <w:szCs w:val="32"/>
          <w:lang w:val="en-US" w:eastAsia="zh-CN"/>
        </w:rPr>
        <w:t>3243.18</w:t>
      </w:r>
      <w:r>
        <w:rPr>
          <w:color w:val="auto"/>
          <w:sz w:val="32"/>
          <w:szCs w:val="32"/>
        </w:rPr>
        <w:t>万元，中期调整为</w:t>
      </w:r>
      <w:r>
        <w:rPr>
          <w:rFonts w:hint="eastAsia"/>
          <w:color w:val="auto"/>
          <w:sz w:val="32"/>
          <w:szCs w:val="32"/>
          <w:lang w:val="en-US" w:eastAsia="zh-CN"/>
        </w:rPr>
        <w:t>6971.90</w:t>
      </w:r>
      <w:r>
        <w:rPr>
          <w:color w:val="auto"/>
          <w:sz w:val="32"/>
          <w:szCs w:val="32"/>
        </w:rPr>
        <w:t>万元，调整后预算支出总额为</w:t>
      </w:r>
      <w:r>
        <w:rPr>
          <w:rFonts w:hint="eastAsia"/>
          <w:color w:val="auto"/>
          <w:sz w:val="32"/>
          <w:szCs w:val="32"/>
          <w:lang w:val="en-US" w:eastAsia="zh-CN"/>
        </w:rPr>
        <w:t>10215.08</w:t>
      </w:r>
      <w:r>
        <w:rPr>
          <w:color w:val="auto"/>
          <w:sz w:val="32"/>
          <w:szCs w:val="32"/>
        </w:rPr>
        <w:t>万元，部门支出预算执行总额为</w:t>
      </w:r>
      <w:r>
        <w:rPr>
          <w:rFonts w:hint="eastAsia"/>
          <w:color w:val="auto"/>
          <w:sz w:val="32"/>
          <w:szCs w:val="32"/>
          <w:lang w:val="en-US" w:eastAsia="zh-CN"/>
        </w:rPr>
        <w:t>8137.11</w:t>
      </w:r>
      <w:r>
        <w:rPr>
          <w:color w:val="auto"/>
          <w:sz w:val="32"/>
          <w:szCs w:val="32"/>
        </w:rPr>
        <w:t>万元，部门总体执行进度为</w:t>
      </w:r>
      <w:r>
        <w:rPr>
          <w:rFonts w:hint="eastAsia"/>
          <w:color w:val="auto"/>
          <w:sz w:val="32"/>
          <w:szCs w:val="32"/>
          <w:lang w:val="en-US" w:eastAsia="zh-CN"/>
        </w:rPr>
        <w:t>79.66</w:t>
      </w:r>
      <w:r>
        <w:rPr>
          <w:color w:val="auto"/>
          <w:sz w:val="32"/>
          <w:szCs w:val="32"/>
        </w:rPr>
        <w:t>%，其中：基本支出预算总额为</w:t>
      </w:r>
      <w:r>
        <w:rPr>
          <w:rFonts w:hint="eastAsia"/>
          <w:color w:val="auto"/>
          <w:sz w:val="32"/>
          <w:szCs w:val="32"/>
          <w:lang w:val="en-US" w:eastAsia="zh-CN"/>
        </w:rPr>
        <w:t>4539.82</w:t>
      </w:r>
      <w:r>
        <w:rPr>
          <w:color w:val="auto"/>
          <w:sz w:val="32"/>
          <w:szCs w:val="32"/>
        </w:rPr>
        <w:t>万元，基本支出执行总额为</w:t>
      </w:r>
      <w:r>
        <w:rPr>
          <w:rFonts w:hint="eastAsia"/>
          <w:color w:val="auto"/>
          <w:sz w:val="32"/>
          <w:szCs w:val="32"/>
          <w:lang w:val="en-US" w:eastAsia="zh-CN"/>
        </w:rPr>
        <w:t>4539.82</w:t>
      </w:r>
      <w:r>
        <w:rPr>
          <w:color w:val="auto"/>
          <w:sz w:val="32"/>
          <w:szCs w:val="32"/>
        </w:rPr>
        <w:t>万元，基本支出总体执行进度100%；项目支出预算总额为</w:t>
      </w:r>
      <w:r>
        <w:rPr>
          <w:rFonts w:hint="eastAsia"/>
          <w:color w:val="auto"/>
          <w:sz w:val="32"/>
          <w:szCs w:val="32"/>
          <w:lang w:val="en-US" w:eastAsia="zh-CN"/>
        </w:rPr>
        <w:t>5621.26</w:t>
      </w:r>
      <w:r>
        <w:rPr>
          <w:color w:val="auto"/>
          <w:sz w:val="32"/>
          <w:szCs w:val="32"/>
        </w:rPr>
        <w:t>万元，项目支出执行总额为</w:t>
      </w:r>
      <w:r>
        <w:rPr>
          <w:rFonts w:hint="eastAsia"/>
          <w:color w:val="auto"/>
          <w:sz w:val="32"/>
          <w:szCs w:val="32"/>
          <w:lang w:val="en-US" w:eastAsia="zh-CN"/>
        </w:rPr>
        <w:t>3543.29</w:t>
      </w:r>
      <w:r>
        <w:rPr>
          <w:color w:val="auto"/>
          <w:sz w:val="32"/>
          <w:szCs w:val="32"/>
        </w:rPr>
        <w:t>万元，项目支出总体执行进度</w:t>
      </w:r>
      <w:r>
        <w:rPr>
          <w:rFonts w:hint="eastAsia"/>
          <w:color w:val="auto"/>
          <w:sz w:val="32"/>
          <w:szCs w:val="32"/>
          <w:lang w:val="en-US" w:eastAsia="zh-CN"/>
        </w:rPr>
        <w:t>63.03</w:t>
      </w:r>
      <w:r>
        <w:rPr>
          <w:color w:val="auto"/>
          <w:sz w:val="32"/>
          <w:szCs w:val="32"/>
        </w:rPr>
        <w:t>%。</w:t>
      </w:r>
      <w:r>
        <w:rPr>
          <w:rFonts w:hint="eastAsia"/>
          <w:color w:val="auto"/>
          <w:sz w:val="32"/>
          <w:szCs w:val="32"/>
          <w:lang w:val="en-US" w:eastAsia="zh-CN"/>
        </w:rPr>
        <w:t>项目执行率较低是由于年末预算调整财政拨入资金较多。</w:t>
      </w:r>
      <w:r>
        <w:rPr>
          <w:color w:val="auto"/>
          <w:sz w:val="32"/>
          <w:szCs w:val="32"/>
        </w:rPr>
        <w:t>具体情况详见表。</w:t>
      </w:r>
    </w:p>
    <w:p w14:paraId="4BAB40A1">
      <w:pPr>
        <w:pStyle w:val="29"/>
        <w:keepNext w:val="0"/>
        <w:keepLines w:val="0"/>
        <w:pageBreakBefore w:val="0"/>
        <w:kinsoku/>
        <w:wordWrap/>
        <w:overflowPunct/>
        <w:topLinePunct w:val="0"/>
        <w:autoSpaceDE/>
        <w:autoSpaceDN/>
        <w:bidi w:val="0"/>
        <w:snapToGrid w:val="0"/>
        <w:spacing w:line="360" w:lineRule="auto"/>
        <w:ind w:firstLine="632"/>
        <w:textAlignment w:val="auto"/>
        <w:rPr>
          <w:rFonts w:hint="eastAsia"/>
          <w:color w:val="auto"/>
          <w:sz w:val="32"/>
          <w:szCs w:val="32"/>
        </w:rPr>
      </w:pPr>
    </w:p>
    <w:p w14:paraId="2E23F4A5">
      <w:pPr>
        <w:pStyle w:val="32"/>
        <w:pageBreakBefore w:val="0"/>
        <w:kinsoku/>
        <w:wordWrap/>
        <w:overflowPunct/>
        <w:topLinePunct w:val="0"/>
        <w:autoSpaceDE/>
        <w:autoSpaceDN/>
        <w:bidi w:val="0"/>
        <w:snapToGrid w:val="0"/>
        <w:spacing w:before="0" w:after="0" w:line="360" w:lineRule="auto"/>
        <w:rPr>
          <w:rFonts w:hint="eastAsia"/>
          <w:color w:val="auto"/>
          <w:sz w:val="32"/>
          <w:szCs w:val="32"/>
        </w:rPr>
      </w:pP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261"/>
        <w:gridCol w:w="1284"/>
        <w:gridCol w:w="1389"/>
        <w:gridCol w:w="1523"/>
        <w:gridCol w:w="1426"/>
      </w:tblGrid>
      <w:tr w14:paraId="571B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95" w:type="dxa"/>
            <w:noWrap w:val="0"/>
            <w:vAlign w:val="center"/>
          </w:tcPr>
          <w:p w14:paraId="101B9A7C">
            <w:pPr>
              <w:pStyle w:val="28"/>
              <w:pageBreakBefore w:val="0"/>
              <w:kinsoku/>
              <w:wordWrap/>
              <w:overflowPunct/>
              <w:topLinePunct w:val="0"/>
              <w:autoSpaceDE/>
              <w:autoSpaceDN/>
              <w:bidi w:val="0"/>
              <w:snapToGrid w:val="0"/>
              <w:spacing w:line="360" w:lineRule="auto"/>
              <w:jc w:val="center"/>
              <w:rPr>
                <w:rFonts w:ascii="Times New Roman" w:hAnsi="Times New Roman"/>
                <w:b/>
                <w:bCs w:val="0"/>
                <w:color w:val="auto"/>
                <w:spacing w:val="-20"/>
                <w:sz w:val="28"/>
                <w:szCs w:val="28"/>
              </w:rPr>
            </w:pPr>
            <w:r>
              <w:rPr>
                <w:rFonts w:hint="eastAsia" w:ascii="Times New Roman" w:hAnsi="Times New Roman"/>
                <w:b/>
                <w:bCs w:val="0"/>
                <w:color w:val="auto"/>
                <w:spacing w:val="-20"/>
                <w:sz w:val="28"/>
                <w:szCs w:val="28"/>
              </w:rPr>
              <w:t>项目名称</w:t>
            </w:r>
          </w:p>
        </w:tc>
        <w:tc>
          <w:tcPr>
            <w:tcW w:w="1261" w:type="dxa"/>
            <w:noWrap w:val="0"/>
            <w:vAlign w:val="center"/>
          </w:tcPr>
          <w:p w14:paraId="4BD6AD63">
            <w:pPr>
              <w:pStyle w:val="28"/>
              <w:pageBreakBefore w:val="0"/>
              <w:kinsoku/>
              <w:wordWrap/>
              <w:overflowPunct/>
              <w:topLinePunct w:val="0"/>
              <w:autoSpaceDE/>
              <w:autoSpaceDN/>
              <w:bidi w:val="0"/>
              <w:snapToGrid w:val="0"/>
              <w:spacing w:line="360" w:lineRule="auto"/>
              <w:jc w:val="center"/>
              <w:rPr>
                <w:b/>
                <w:bCs w:val="0"/>
                <w:color w:val="auto"/>
                <w:spacing w:val="-20"/>
                <w:sz w:val="28"/>
                <w:szCs w:val="28"/>
              </w:rPr>
            </w:pPr>
            <w:r>
              <w:rPr>
                <w:b/>
                <w:bCs w:val="0"/>
                <w:color w:val="auto"/>
                <w:spacing w:val="-20"/>
                <w:sz w:val="28"/>
                <w:szCs w:val="28"/>
              </w:rPr>
              <w:t>年度预算</w:t>
            </w:r>
          </w:p>
        </w:tc>
        <w:tc>
          <w:tcPr>
            <w:tcW w:w="1284" w:type="dxa"/>
            <w:noWrap w:val="0"/>
            <w:vAlign w:val="center"/>
          </w:tcPr>
          <w:p w14:paraId="644FAA49">
            <w:pPr>
              <w:pStyle w:val="28"/>
              <w:pageBreakBefore w:val="0"/>
              <w:kinsoku/>
              <w:wordWrap/>
              <w:overflowPunct/>
              <w:topLinePunct w:val="0"/>
              <w:autoSpaceDE/>
              <w:autoSpaceDN/>
              <w:bidi w:val="0"/>
              <w:snapToGrid w:val="0"/>
              <w:spacing w:line="360" w:lineRule="auto"/>
              <w:jc w:val="center"/>
              <w:rPr>
                <w:b/>
                <w:bCs w:val="0"/>
                <w:color w:val="auto"/>
                <w:spacing w:val="-20"/>
                <w:sz w:val="28"/>
                <w:szCs w:val="28"/>
              </w:rPr>
            </w:pPr>
            <w:r>
              <w:rPr>
                <w:b/>
                <w:bCs w:val="0"/>
                <w:color w:val="auto"/>
                <w:spacing w:val="-20"/>
                <w:sz w:val="28"/>
                <w:szCs w:val="28"/>
              </w:rPr>
              <w:t>中期调整</w:t>
            </w:r>
          </w:p>
        </w:tc>
        <w:tc>
          <w:tcPr>
            <w:tcW w:w="1389" w:type="dxa"/>
            <w:tcBorders>
              <w:bottom w:val="single" w:color="auto" w:sz="4" w:space="0"/>
            </w:tcBorders>
            <w:noWrap w:val="0"/>
            <w:vAlign w:val="center"/>
          </w:tcPr>
          <w:p w14:paraId="5102A4F0">
            <w:pPr>
              <w:pStyle w:val="28"/>
              <w:pageBreakBefore w:val="0"/>
              <w:kinsoku/>
              <w:wordWrap/>
              <w:overflowPunct/>
              <w:topLinePunct w:val="0"/>
              <w:autoSpaceDE/>
              <w:autoSpaceDN/>
              <w:bidi w:val="0"/>
              <w:snapToGrid w:val="0"/>
              <w:spacing w:line="360" w:lineRule="auto"/>
              <w:jc w:val="center"/>
              <w:rPr>
                <w:rFonts w:ascii="Times New Roman" w:hAnsi="Times New Roman"/>
                <w:b/>
                <w:bCs w:val="0"/>
                <w:color w:val="auto"/>
                <w:spacing w:val="-20"/>
                <w:sz w:val="28"/>
                <w:szCs w:val="28"/>
              </w:rPr>
            </w:pPr>
            <w:r>
              <w:rPr>
                <w:rFonts w:ascii="Times New Roman" w:hAnsi="Times New Roman"/>
                <w:b/>
                <w:bCs w:val="0"/>
                <w:color w:val="auto"/>
                <w:spacing w:val="-23"/>
                <w:w w:val="90"/>
                <w:sz w:val="28"/>
                <w:szCs w:val="28"/>
              </w:rPr>
              <w:t>年初总预算</w:t>
            </w:r>
          </w:p>
        </w:tc>
        <w:tc>
          <w:tcPr>
            <w:tcW w:w="1523" w:type="dxa"/>
            <w:tcBorders>
              <w:bottom w:val="single" w:color="auto" w:sz="4" w:space="0"/>
            </w:tcBorders>
            <w:noWrap w:val="0"/>
            <w:vAlign w:val="center"/>
          </w:tcPr>
          <w:p w14:paraId="09CF194B">
            <w:pPr>
              <w:pStyle w:val="28"/>
              <w:pageBreakBefore w:val="0"/>
              <w:kinsoku/>
              <w:wordWrap/>
              <w:overflowPunct/>
              <w:topLinePunct w:val="0"/>
              <w:autoSpaceDE/>
              <w:autoSpaceDN/>
              <w:bidi w:val="0"/>
              <w:snapToGrid w:val="0"/>
              <w:spacing w:line="360" w:lineRule="auto"/>
              <w:jc w:val="center"/>
              <w:rPr>
                <w:rFonts w:ascii="Times New Roman" w:hAnsi="Times New Roman"/>
                <w:b/>
                <w:bCs w:val="0"/>
                <w:color w:val="auto"/>
                <w:spacing w:val="-20"/>
                <w:sz w:val="28"/>
                <w:szCs w:val="28"/>
              </w:rPr>
            </w:pPr>
            <w:r>
              <w:rPr>
                <w:rFonts w:ascii="Times New Roman" w:hAnsi="Times New Roman"/>
                <w:b/>
                <w:bCs w:val="0"/>
                <w:color w:val="auto"/>
                <w:spacing w:val="-20"/>
                <w:sz w:val="28"/>
                <w:szCs w:val="28"/>
              </w:rPr>
              <w:t>预算执行</w:t>
            </w:r>
          </w:p>
        </w:tc>
        <w:tc>
          <w:tcPr>
            <w:tcW w:w="1426" w:type="dxa"/>
            <w:noWrap w:val="0"/>
            <w:vAlign w:val="center"/>
          </w:tcPr>
          <w:p w14:paraId="404F39D3">
            <w:pPr>
              <w:pStyle w:val="28"/>
              <w:pageBreakBefore w:val="0"/>
              <w:kinsoku/>
              <w:wordWrap/>
              <w:overflowPunct/>
              <w:topLinePunct w:val="0"/>
              <w:autoSpaceDE/>
              <w:autoSpaceDN/>
              <w:bidi w:val="0"/>
              <w:snapToGrid w:val="0"/>
              <w:spacing w:line="360" w:lineRule="auto"/>
              <w:jc w:val="center"/>
              <w:rPr>
                <w:rFonts w:ascii="Times New Roman" w:hAnsi="Times New Roman"/>
                <w:b/>
                <w:bCs w:val="0"/>
                <w:color w:val="auto"/>
                <w:spacing w:val="-20"/>
                <w:sz w:val="28"/>
                <w:szCs w:val="28"/>
              </w:rPr>
            </w:pPr>
            <w:r>
              <w:rPr>
                <w:rFonts w:ascii="Times New Roman" w:hAnsi="Times New Roman"/>
                <w:b/>
                <w:bCs w:val="0"/>
                <w:color w:val="auto"/>
                <w:spacing w:val="-20"/>
                <w:sz w:val="28"/>
                <w:szCs w:val="28"/>
              </w:rPr>
              <w:t>执行率（%）</w:t>
            </w:r>
          </w:p>
        </w:tc>
      </w:tr>
      <w:tr w14:paraId="3A1A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95" w:type="dxa"/>
            <w:noWrap w:val="0"/>
            <w:vAlign w:val="center"/>
          </w:tcPr>
          <w:p w14:paraId="5475409F">
            <w:pPr>
              <w:pStyle w:val="28"/>
              <w:pageBreakBefore w:val="0"/>
              <w:kinsoku/>
              <w:wordWrap/>
              <w:overflowPunct/>
              <w:topLinePunct w:val="0"/>
              <w:autoSpaceDE/>
              <w:autoSpaceDN/>
              <w:bidi w:val="0"/>
              <w:snapToGrid w:val="0"/>
              <w:spacing w:line="360" w:lineRule="auto"/>
              <w:jc w:val="center"/>
              <w:rPr>
                <w:rFonts w:ascii="Times New Roman" w:hAnsi="Times New Roman"/>
                <w:b w:val="0"/>
                <w:bCs/>
                <w:color w:val="auto"/>
                <w:spacing w:val="-20"/>
                <w:sz w:val="28"/>
                <w:szCs w:val="28"/>
              </w:rPr>
            </w:pPr>
            <w:r>
              <w:rPr>
                <w:rFonts w:hint="eastAsia" w:ascii="Times New Roman" w:hAnsi="Times New Roman"/>
                <w:b w:val="0"/>
                <w:bCs/>
                <w:color w:val="auto"/>
                <w:spacing w:val="-20"/>
                <w:sz w:val="28"/>
                <w:szCs w:val="28"/>
              </w:rPr>
              <w:t>一、基本支出</w:t>
            </w:r>
          </w:p>
        </w:tc>
        <w:tc>
          <w:tcPr>
            <w:tcW w:w="1261" w:type="dxa"/>
            <w:noWrap w:val="0"/>
            <w:vAlign w:val="center"/>
          </w:tcPr>
          <w:p w14:paraId="20044B58">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3038.72</w:t>
            </w:r>
          </w:p>
        </w:tc>
        <w:tc>
          <w:tcPr>
            <w:tcW w:w="1284" w:type="dxa"/>
            <w:tcBorders>
              <w:top w:val="nil"/>
              <w:left w:val="nil"/>
              <w:bottom w:val="single" w:color="auto" w:sz="4" w:space="0"/>
              <w:right w:val="single" w:color="auto" w:sz="8" w:space="0"/>
            </w:tcBorders>
            <w:noWrap w:val="0"/>
            <w:vAlign w:val="center"/>
          </w:tcPr>
          <w:p w14:paraId="7096A4B7">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1555.10</w:t>
            </w:r>
          </w:p>
        </w:tc>
        <w:tc>
          <w:tcPr>
            <w:tcW w:w="1389" w:type="dxa"/>
            <w:tcBorders>
              <w:top w:val="single" w:color="auto" w:sz="4" w:space="0"/>
              <w:left w:val="nil"/>
              <w:bottom w:val="single" w:color="auto" w:sz="4" w:space="0"/>
              <w:right w:val="single" w:color="auto" w:sz="4" w:space="0"/>
            </w:tcBorders>
            <w:noWrap w:val="0"/>
            <w:vAlign w:val="center"/>
          </w:tcPr>
          <w:p w14:paraId="30B7F35A">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4593.82</w:t>
            </w:r>
          </w:p>
        </w:tc>
        <w:tc>
          <w:tcPr>
            <w:tcW w:w="1523" w:type="dxa"/>
            <w:tcBorders>
              <w:top w:val="single" w:color="auto" w:sz="4" w:space="0"/>
              <w:left w:val="single" w:color="auto" w:sz="4" w:space="0"/>
              <w:bottom w:val="single" w:color="auto" w:sz="4" w:space="0"/>
              <w:right w:val="nil"/>
            </w:tcBorders>
            <w:noWrap w:val="0"/>
            <w:vAlign w:val="center"/>
          </w:tcPr>
          <w:p w14:paraId="327369F0">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4593.82</w:t>
            </w:r>
          </w:p>
        </w:tc>
        <w:tc>
          <w:tcPr>
            <w:tcW w:w="1426" w:type="dxa"/>
            <w:noWrap w:val="0"/>
            <w:vAlign w:val="center"/>
          </w:tcPr>
          <w:p w14:paraId="79835581">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100</w:t>
            </w:r>
          </w:p>
        </w:tc>
      </w:tr>
      <w:tr w14:paraId="6BB2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95" w:type="dxa"/>
            <w:noWrap w:val="0"/>
            <w:vAlign w:val="center"/>
          </w:tcPr>
          <w:p w14:paraId="1FB5EE61">
            <w:pPr>
              <w:pStyle w:val="28"/>
              <w:pageBreakBefore w:val="0"/>
              <w:kinsoku/>
              <w:wordWrap/>
              <w:overflowPunct/>
              <w:topLinePunct w:val="0"/>
              <w:autoSpaceDE/>
              <w:autoSpaceDN/>
              <w:bidi w:val="0"/>
              <w:snapToGrid w:val="0"/>
              <w:spacing w:line="360" w:lineRule="auto"/>
              <w:jc w:val="center"/>
              <w:rPr>
                <w:rFonts w:ascii="Times New Roman" w:hAnsi="Times New Roman"/>
                <w:b w:val="0"/>
                <w:bCs/>
                <w:color w:val="auto"/>
                <w:spacing w:val="-20"/>
                <w:sz w:val="28"/>
                <w:szCs w:val="28"/>
              </w:rPr>
            </w:pPr>
            <w:r>
              <w:rPr>
                <w:rFonts w:ascii="Times New Roman" w:hAnsi="Times New Roman"/>
                <w:b w:val="0"/>
                <w:bCs/>
                <w:color w:val="auto"/>
                <w:spacing w:val="-20"/>
                <w:sz w:val="28"/>
                <w:szCs w:val="28"/>
              </w:rPr>
              <w:t>人员经费</w:t>
            </w:r>
          </w:p>
        </w:tc>
        <w:tc>
          <w:tcPr>
            <w:tcW w:w="1261" w:type="dxa"/>
            <w:noWrap w:val="0"/>
            <w:vAlign w:val="center"/>
          </w:tcPr>
          <w:p w14:paraId="13C43499">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2914.43</w:t>
            </w:r>
          </w:p>
        </w:tc>
        <w:tc>
          <w:tcPr>
            <w:tcW w:w="1284" w:type="dxa"/>
            <w:tcBorders>
              <w:top w:val="nil"/>
              <w:left w:val="nil"/>
              <w:bottom w:val="single" w:color="auto" w:sz="4" w:space="0"/>
              <w:right w:val="single" w:color="auto" w:sz="8" w:space="0"/>
            </w:tcBorders>
            <w:noWrap w:val="0"/>
            <w:vAlign w:val="center"/>
          </w:tcPr>
          <w:p w14:paraId="51A96871">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1548.61</w:t>
            </w:r>
          </w:p>
        </w:tc>
        <w:tc>
          <w:tcPr>
            <w:tcW w:w="1389" w:type="dxa"/>
            <w:tcBorders>
              <w:top w:val="single" w:color="auto" w:sz="4" w:space="0"/>
              <w:left w:val="nil"/>
              <w:bottom w:val="single" w:color="auto" w:sz="4" w:space="0"/>
              <w:right w:val="single" w:color="auto" w:sz="4" w:space="0"/>
            </w:tcBorders>
            <w:noWrap w:val="0"/>
            <w:vAlign w:val="center"/>
          </w:tcPr>
          <w:p w14:paraId="4AF0573B">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4463.04</w:t>
            </w:r>
          </w:p>
        </w:tc>
        <w:tc>
          <w:tcPr>
            <w:tcW w:w="1523" w:type="dxa"/>
            <w:tcBorders>
              <w:top w:val="single" w:color="auto" w:sz="4" w:space="0"/>
              <w:left w:val="single" w:color="auto" w:sz="4" w:space="0"/>
              <w:bottom w:val="single" w:color="auto" w:sz="4" w:space="0"/>
              <w:right w:val="nil"/>
            </w:tcBorders>
            <w:noWrap w:val="0"/>
            <w:vAlign w:val="center"/>
          </w:tcPr>
          <w:p w14:paraId="67F4C20F">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4463.04</w:t>
            </w:r>
          </w:p>
        </w:tc>
        <w:tc>
          <w:tcPr>
            <w:tcW w:w="1426" w:type="dxa"/>
            <w:noWrap w:val="0"/>
            <w:vAlign w:val="center"/>
          </w:tcPr>
          <w:p w14:paraId="309B3B41">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100</w:t>
            </w:r>
          </w:p>
        </w:tc>
      </w:tr>
      <w:tr w14:paraId="27F3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95" w:type="dxa"/>
            <w:noWrap w:val="0"/>
            <w:vAlign w:val="center"/>
          </w:tcPr>
          <w:p w14:paraId="42A80D55">
            <w:pPr>
              <w:pStyle w:val="28"/>
              <w:pageBreakBefore w:val="0"/>
              <w:kinsoku/>
              <w:wordWrap/>
              <w:overflowPunct/>
              <w:topLinePunct w:val="0"/>
              <w:autoSpaceDE/>
              <w:autoSpaceDN/>
              <w:bidi w:val="0"/>
              <w:snapToGrid w:val="0"/>
              <w:spacing w:line="360" w:lineRule="auto"/>
              <w:jc w:val="center"/>
              <w:rPr>
                <w:rFonts w:ascii="Times New Roman" w:hAnsi="Times New Roman"/>
                <w:b w:val="0"/>
                <w:bCs/>
                <w:color w:val="auto"/>
                <w:spacing w:val="-20"/>
                <w:sz w:val="28"/>
                <w:szCs w:val="28"/>
              </w:rPr>
            </w:pPr>
            <w:r>
              <w:rPr>
                <w:rFonts w:hint="eastAsia" w:ascii="Times New Roman" w:hAnsi="Times New Roman"/>
                <w:b w:val="0"/>
                <w:bCs/>
                <w:color w:val="auto"/>
                <w:spacing w:val="-20"/>
                <w:sz w:val="28"/>
                <w:szCs w:val="28"/>
              </w:rPr>
              <w:t>公用经费</w:t>
            </w:r>
          </w:p>
        </w:tc>
        <w:tc>
          <w:tcPr>
            <w:tcW w:w="1261" w:type="dxa"/>
            <w:noWrap w:val="0"/>
            <w:vAlign w:val="center"/>
          </w:tcPr>
          <w:p w14:paraId="21D32635">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124.29</w:t>
            </w:r>
          </w:p>
        </w:tc>
        <w:tc>
          <w:tcPr>
            <w:tcW w:w="1284" w:type="dxa"/>
            <w:tcBorders>
              <w:top w:val="single" w:color="auto" w:sz="4" w:space="0"/>
              <w:left w:val="nil"/>
              <w:bottom w:val="single" w:color="auto" w:sz="4" w:space="0"/>
              <w:right w:val="single" w:color="auto" w:sz="4" w:space="0"/>
            </w:tcBorders>
            <w:noWrap w:val="0"/>
            <w:vAlign w:val="center"/>
          </w:tcPr>
          <w:p w14:paraId="08D19292">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6.49</w:t>
            </w:r>
          </w:p>
        </w:tc>
        <w:tc>
          <w:tcPr>
            <w:tcW w:w="1389" w:type="dxa"/>
            <w:tcBorders>
              <w:top w:val="single" w:color="auto" w:sz="4" w:space="0"/>
              <w:left w:val="single" w:color="auto" w:sz="4" w:space="0"/>
              <w:bottom w:val="single" w:color="auto" w:sz="4" w:space="0"/>
              <w:right w:val="single" w:color="auto" w:sz="4" w:space="0"/>
            </w:tcBorders>
            <w:noWrap w:val="0"/>
            <w:vAlign w:val="center"/>
          </w:tcPr>
          <w:p w14:paraId="1A914875">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130.78</w:t>
            </w:r>
          </w:p>
        </w:tc>
        <w:tc>
          <w:tcPr>
            <w:tcW w:w="1523" w:type="dxa"/>
            <w:tcBorders>
              <w:top w:val="single" w:color="auto" w:sz="4" w:space="0"/>
              <w:left w:val="single" w:color="auto" w:sz="4" w:space="0"/>
              <w:bottom w:val="single" w:color="auto" w:sz="4" w:space="0"/>
              <w:right w:val="nil"/>
            </w:tcBorders>
            <w:noWrap w:val="0"/>
            <w:vAlign w:val="center"/>
          </w:tcPr>
          <w:p w14:paraId="7252B3C3">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130.78</w:t>
            </w:r>
          </w:p>
        </w:tc>
        <w:tc>
          <w:tcPr>
            <w:tcW w:w="1426" w:type="dxa"/>
            <w:noWrap w:val="0"/>
            <w:vAlign w:val="center"/>
          </w:tcPr>
          <w:p w14:paraId="089496A5">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100</w:t>
            </w:r>
          </w:p>
        </w:tc>
      </w:tr>
      <w:tr w14:paraId="1677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595" w:type="dxa"/>
            <w:noWrap w:val="0"/>
            <w:vAlign w:val="center"/>
          </w:tcPr>
          <w:p w14:paraId="33525CA2">
            <w:pPr>
              <w:pStyle w:val="28"/>
              <w:pageBreakBefore w:val="0"/>
              <w:kinsoku/>
              <w:wordWrap/>
              <w:overflowPunct/>
              <w:topLinePunct w:val="0"/>
              <w:autoSpaceDE/>
              <w:autoSpaceDN/>
              <w:bidi w:val="0"/>
              <w:snapToGrid w:val="0"/>
              <w:spacing w:line="360" w:lineRule="auto"/>
              <w:jc w:val="center"/>
              <w:rPr>
                <w:rFonts w:ascii="Times New Roman" w:hAnsi="Times New Roman"/>
                <w:b w:val="0"/>
                <w:bCs/>
                <w:color w:val="auto"/>
                <w:spacing w:val="-20"/>
                <w:sz w:val="28"/>
                <w:szCs w:val="28"/>
              </w:rPr>
            </w:pPr>
            <w:r>
              <w:rPr>
                <w:rFonts w:hint="eastAsia" w:ascii="Times New Roman" w:hAnsi="Times New Roman"/>
                <w:b w:val="0"/>
                <w:bCs/>
                <w:color w:val="auto"/>
                <w:spacing w:val="-20"/>
                <w:sz w:val="28"/>
                <w:szCs w:val="28"/>
              </w:rPr>
              <w:t>二、项目支出</w:t>
            </w:r>
          </w:p>
        </w:tc>
        <w:tc>
          <w:tcPr>
            <w:tcW w:w="1261" w:type="dxa"/>
            <w:noWrap w:val="0"/>
            <w:vAlign w:val="center"/>
          </w:tcPr>
          <w:p w14:paraId="42F785BF">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204.46</w:t>
            </w:r>
          </w:p>
        </w:tc>
        <w:tc>
          <w:tcPr>
            <w:tcW w:w="1284" w:type="dxa"/>
            <w:tcBorders>
              <w:top w:val="single" w:color="auto" w:sz="4" w:space="0"/>
              <w:left w:val="nil"/>
              <w:bottom w:val="single" w:color="auto" w:sz="4" w:space="0"/>
              <w:right w:val="single" w:color="auto" w:sz="4" w:space="0"/>
            </w:tcBorders>
            <w:noWrap w:val="0"/>
            <w:vAlign w:val="center"/>
          </w:tcPr>
          <w:p w14:paraId="1A7BEAE8">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5416.80</w:t>
            </w:r>
          </w:p>
        </w:tc>
        <w:tc>
          <w:tcPr>
            <w:tcW w:w="1389" w:type="dxa"/>
            <w:tcBorders>
              <w:top w:val="single" w:color="auto" w:sz="4" w:space="0"/>
              <w:left w:val="single" w:color="auto" w:sz="4" w:space="0"/>
              <w:bottom w:val="single" w:color="auto" w:sz="4" w:space="0"/>
              <w:right w:val="single" w:color="auto" w:sz="4" w:space="0"/>
            </w:tcBorders>
            <w:noWrap w:val="0"/>
            <w:vAlign w:val="center"/>
          </w:tcPr>
          <w:p w14:paraId="7AACAA26">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5621.26</w:t>
            </w:r>
          </w:p>
        </w:tc>
        <w:tc>
          <w:tcPr>
            <w:tcW w:w="1523" w:type="dxa"/>
            <w:tcBorders>
              <w:top w:val="single" w:color="auto" w:sz="4" w:space="0"/>
              <w:left w:val="single" w:color="auto" w:sz="4" w:space="0"/>
              <w:bottom w:val="single" w:color="auto" w:sz="4" w:space="0"/>
              <w:right w:val="nil"/>
            </w:tcBorders>
            <w:noWrap w:val="0"/>
            <w:vAlign w:val="center"/>
          </w:tcPr>
          <w:p w14:paraId="3B15611F">
            <w:pPr>
              <w:pStyle w:val="28"/>
              <w:pageBreakBefore w:val="0"/>
              <w:kinsoku/>
              <w:wordWrap/>
              <w:overflowPunct/>
              <w:topLinePunct w:val="0"/>
              <w:autoSpaceDE/>
              <w:autoSpaceDN/>
              <w:bidi w:val="0"/>
              <w:snapToGrid w:val="0"/>
              <w:spacing w:line="360" w:lineRule="auto"/>
              <w:jc w:val="center"/>
              <w:rPr>
                <w:rFonts w:hint="default" w:ascii="仿宋" w:hAnsi="仿宋" w:eastAsia="仿宋" w:cs="仿宋"/>
                <w:b w:val="0"/>
                <w:bCs/>
                <w:color w:val="auto"/>
                <w:sz w:val="28"/>
                <w:szCs w:val="28"/>
                <w:lang w:val="en-US" w:eastAsia="zh-CN"/>
              </w:rPr>
            </w:pPr>
            <w:r>
              <w:rPr>
                <w:rFonts w:hint="eastAsia" w:ascii="仿宋" w:hAnsi="仿宋" w:cs="仿宋"/>
                <w:b w:val="0"/>
                <w:bCs/>
                <w:color w:val="auto"/>
                <w:sz w:val="28"/>
                <w:szCs w:val="28"/>
                <w:lang w:val="en-US" w:eastAsia="zh-CN"/>
              </w:rPr>
              <w:t>3543.29</w:t>
            </w:r>
          </w:p>
        </w:tc>
        <w:tc>
          <w:tcPr>
            <w:tcW w:w="1426" w:type="dxa"/>
            <w:noWrap w:val="0"/>
            <w:vAlign w:val="center"/>
          </w:tcPr>
          <w:p w14:paraId="292EDAE9">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63.03</w:t>
            </w:r>
          </w:p>
        </w:tc>
      </w:tr>
      <w:tr w14:paraId="1AFD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95" w:type="dxa"/>
            <w:noWrap w:val="0"/>
            <w:vAlign w:val="center"/>
          </w:tcPr>
          <w:p w14:paraId="73F45A24">
            <w:pPr>
              <w:pStyle w:val="28"/>
              <w:pageBreakBefore w:val="0"/>
              <w:kinsoku/>
              <w:wordWrap/>
              <w:overflowPunct/>
              <w:topLinePunct w:val="0"/>
              <w:autoSpaceDE/>
              <w:autoSpaceDN/>
              <w:bidi w:val="0"/>
              <w:snapToGrid w:val="0"/>
              <w:spacing w:line="360" w:lineRule="auto"/>
              <w:jc w:val="center"/>
              <w:rPr>
                <w:rFonts w:ascii="Times New Roman" w:hAnsi="Times New Roman"/>
                <w:b w:val="0"/>
                <w:bCs/>
                <w:color w:val="auto"/>
                <w:spacing w:val="-20"/>
                <w:sz w:val="28"/>
                <w:szCs w:val="28"/>
              </w:rPr>
            </w:pPr>
            <w:r>
              <w:rPr>
                <w:rFonts w:hint="eastAsia" w:ascii="Times New Roman" w:hAnsi="Times New Roman"/>
                <w:b w:val="0"/>
                <w:bCs/>
                <w:color w:val="auto"/>
                <w:spacing w:val="-20"/>
                <w:sz w:val="28"/>
                <w:szCs w:val="28"/>
              </w:rPr>
              <w:t>总计</w:t>
            </w:r>
          </w:p>
        </w:tc>
        <w:tc>
          <w:tcPr>
            <w:tcW w:w="1261" w:type="dxa"/>
            <w:noWrap w:val="0"/>
            <w:vAlign w:val="center"/>
          </w:tcPr>
          <w:p w14:paraId="1D06BD5B">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3243.18</w:t>
            </w:r>
          </w:p>
        </w:tc>
        <w:tc>
          <w:tcPr>
            <w:tcW w:w="1284" w:type="dxa"/>
            <w:tcBorders>
              <w:top w:val="nil"/>
              <w:left w:val="nil"/>
              <w:bottom w:val="single" w:color="auto" w:sz="4" w:space="0"/>
              <w:right w:val="single" w:color="auto" w:sz="8" w:space="0"/>
            </w:tcBorders>
            <w:noWrap w:val="0"/>
            <w:vAlign w:val="center"/>
          </w:tcPr>
          <w:p w14:paraId="275543C0">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cs="仿宋"/>
                <w:b w:val="0"/>
                <w:bCs/>
                <w:color w:val="auto"/>
                <w:sz w:val="28"/>
                <w:szCs w:val="28"/>
                <w:lang w:val="en-US" w:eastAsia="zh-CN"/>
              </w:rPr>
              <w:t>6971.90</w:t>
            </w:r>
          </w:p>
        </w:tc>
        <w:tc>
          <w:tcPr>
            <w:tcW w:w="1389" w:type="dxa"/>
            <w:tcBorders>
              <w:top w:val="single" w:color="auto" w:sz="4" w:space="0"/>
              <w:left w:val="nil"/>
              <w:bottom w:val="single" w:color="auto" w:sz="4" w:space="0"/>
              <w:right w:val="single" w:color="auto" w:sz="4" w:space="0"/>
            </w:tcBorders>
            <w:noWrap w:val="0"/>
            <w:vAlign w:val="center"/>
          </w:tcPr>
          <w:p w14:paraId="61B961E6">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cs="仿宋"/>
                <w:b w:val="0"/>
                <w:bCs/>
                <w:color w:val="auto"/>
                <w:sz w:val="28"/>
                <w:szCs w:val="28"/>
                <w:lang w:val="en-US" w:eastAsia="zh-CN"/>
              </w:rPr>
              <w:t>10215.08</w:t>
            </w:r>
          </w:p>
        </w:tc>
        <w:tc>
          <w:tcPr>
            <w:tcW w:w="1523" w:type="dxa"/>
            <w:tcBorders>
              <w:top w:val="single" w:color="auto" w:sz="4" w:space="0"/>
              <w:left w:val="single" w:color="auto" w:sz="4" w:space="0"/>
              <w:bottom w:val="single" w:color="auto" w:sz="4" w:space="0"/>
              <w:right w:val="nil"/>
            </w:tcBorders>
            <w:noWrap w:val="0"/>
            <w:vAlign w:val="center"/>
          </w:tcPr>
          <w:p w14:paraId="0E785729">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8137.11</w:t>
            </w:r>
          </w:p>
        </w:tc>
        <w:tc>
          <w:tcPr>
            <w:tcW w:w="1426" w:type="dxa"/>
            <w:noWrap w:val="0"/>
            <w:vAlign w:val="center"/>
          </w:tcPr>
          <w:p w14:paraId="5F55034C">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79.66</w:t>
            </w:r>
          </w:p>
        </w:tc>
      </w:tr>
      <w:tr w14:paraId="14C1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595" w:type="dxa"/>
            <w:noWrap w:val="0"/>
            <w:vAlign w:val="center"/>
          </w:tcPr>
          <w:p w14:paraId="05629609">
            <w:pPr>
              <w:pStyle w:val="28"/>
              <w:pageBreakBefore w:val="0"/>
              <w:kinsoku/>
              <w:wordWrap/>
              <w:overflowPunct/>
              <w:topLinePunct w:val="0"/>
              <w:autoSpaceDE/>
              <w:autoSpaceDN/>
              <w:bidi w:val="0"/>
              <w:snapToGrid w:val="0"/>
              <w:spacing w:line="360" w:lineRule="auto"/>
              <w:jc w:val="center"/>
              <w:rPr>
                <w:rFonts w:ascii="Times New Roman" w:hAnsi="Times New Roman"/>
                <w:b w:val="0"/>
                <w:bCs/>
                <w:color w:val="auto"/>
                <w:spacing w:val="-20"/>
                <w:sz w:val="28"/>
                <w:szCs w:val="28"/>
              </w:rPr>
            </w:pPr>
            <w:r>
              <w:rPr>
                <w:rFonts w:hint="eastAsia" w:ascii="Times New Roman" w:hAnsi="Times New Roman"/>
                <w:b w:val="0"/>
                <w:bCs/>
                <w:color w:val="auto"/>
                <w:spacing w:val="-23"/>
                <w:w w:val="90"/>
                <w:sz w:val="28"/>
                <w:szCs w:val="28"/>
              </w:rPr>
              <w:t>年末结转结余</w:t>
            </w:r>
          </w:p>
        </w:tc>
        <w:tc>
          <w:tcPr>
            <w:tcW w:w="1261" w:type="dxa"/>
            <w:noWrap w:val="0"/>
            <w:vAlign w:val="center"/>
          </w:tcPr>
          <w:p w14:paraId="6585668D">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0</w:t>
            </w:r>
          </w:p>
        </w:tc>
        <w:tc>
          <w:tcPr>
            <w:tcW w:w="1284" w:type="dxa"/>
            <w:noWrap w:val="0"/>
            <w:vAlign w:val="center"/>
          </w:tcPr>
          <w:p w14:paraId="3F30DEB4">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0</w:t>
            </w:r>
          </w:p>
        </w:tc>
        <w:tc>
          <w:tcPr>
            <w:tcW w:w="1389" w:type="dxa"/>
            <w:tcBorders>
              <w:top w:val="single" w:color="auto" w:sz="4" w:space="0"/>
            </w:tcBorders>
            <w:noWrap w:val="0"/>
            <w:vAlign w:val="center"/>
          </w:tcPr>
          <w:p w14:paraId="560ADB31">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0</w:t>
            </w:r>
          </w:p>
        </w:tc>
        <w:tc>
          <w:tcPr>
            <w:tcW w:w="1523" w:type="dxa"/>
            <w:tcBorders>
              <w:top w:val="single" w:color="auto" w:sz="4" w:space="0"/>
            </w:tcBorders>
            <w:noWrap w:val="0"/>
            <w:vAlign w:val="center"/>
          </w:tcPr>
          <w:p w14:paraId="73D4E3BF">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rPr>
            </w:pPr>
            <w:r>
              <w:rPr>
                <w:rFonts w:hint="eastAsia" w:ascii="仿宋" w:hAnsi="仿宋" w:eastAsia="仿宋" w:cs="仿宋"/>
                <w:b w:val="0"/>
                <w:bCs/>
                <w:color w:val="auto"/>
                <w:kern w:val="0"/>
                <w:sz w:val="28"/>
                <w:szCs w:val="28"/>
              </w:rPr>
              <w:t>0</w:t>
            </w:r>
          </w:p>
        </w:tc>
        <w:tc>
          <w:tcPr>
            <w:tcW w:w="1426" w:type="dxa"/>
            <w:noWrap w:val="0"/>
            <w:vAlign w:val="center"/>
          </w:tcPr>
          <w:p w14:paraId="18314367">
            <w:pPr>
              <w:pStyle w:val="28"/>
              <w:pageBreakBefore w:val="0"/>
              <w:kinsoku/>
              <w:wordWrap/>
              <w:overflowPunct/>
              <w:topLinePunct w:val="0"/>
              <w:autoSpaceDE/>
              <w:autoSpaceDN/>
              <w:bidi w:val="0"/>
              <w:snapToGrid w:val="0"/>
              <w:spacing w:line="360" w:lineRule="auto"/>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0</w:t>
            </w:r>
          </w:p>
        </w:tc>
      </w:tr>
    </w:tbl>
    <w:p w14:paraId="2DC409E0">
      <w:pPr>
        <w:pStyle w:val="32"/>
        <w:pageBreakBefore w:val="0"/>
        <w:kinsoku/>
        <w:wordWrap/>
        <w:overflowPunct/>
        <w:topLinePunct w:val="0"/>
        <w:autoSpaceDE/>
        <w:autoSpaceDN/>
        <w:bidi w:val="0"/>
        <w:snapToGrid w:val="0"/>
        <w:spacing w:before="0" w:after="0" w:line="360" w:lineRule="auto"/>
        <w:jc w:val="center"/>
        <w:rPr>
          <w:rFonts w:hint="eastAsia" w:eastAsia="黑体"/>
          <w:color w:val="auto"/>
          <w:kern w:val="0"/>
          <w:sz w:val="28"/>
          <w:szCs w:val="28"/>
          <w:shd w:val="clear" w:color="auto" w:fill="FFFFFF"/>
          <w:lang w:eastAsia="zh-CN"/>
        </w:rPr>
      </w:pPr>
      <w:r>
        <w:rPr>
          <w:rFonts w:hint="eastAsia" w:eastAsia="黑体"/>
          <w:color w:val="auto"/>
          <w:kern w:val="0"/>
          <w:sz w:val="28"/>
          <w:szCs w:val="28"/>
          <w:shd w:val="clear" w:color="auto" w:fill="FFFFFF"/>
          <w:lang w:eastAsia="zh-CN"/>
        </w:rPr>
        <w:t>（</w:t>
      </w:r>
      <w:r>
        <w:rPr>
          <w:color w:val="auto"/>
          <w:sz w:val="28"/>
          <w:szCs w:val="28"/>
        </w:rPr>
        <w:t>年度预算执行表</w:t>
      </w:r>
      <w:r>
        <w:rPr>
          <w:rFonts w:hint="eastAsia"/>
          <w:color w:val="auto"/>
          <w:sz w:val="28"/>
          <w:szCs w:val="28"/>
          <w:lang w:eastAsia="zh-CN"/>
        </w:rPr>
        <w:t>，</w:t>
      </w:r>
      <w:r>
        <w:rPr>
          <w:rFonts w:hint="eastAsia"/>
          <w:color w:val="auto"/>
          <w:sz w:val="28"/>
          <w:szCs w:val="28"/>
        </w:rPr>
        <w:t>单位：万元</w:t>
      </w:r>
      <w:r>
        <w:rPr>
          <w:rFonts w:hint="eastAsia" w:eastAsia="黑体"/>
          <w:color w:val="auto"/>
          <w:kern w:val="0"/>
          <w:sz w:val="28"/>
          <w:szCs w:val="28"/>
          <w:shd w:val="clear" w:color="auto" w:fill="FFFFFF"/>
          <w:lang w:eastAsia="zh-CN"/>
        </w:rPr>
        <w:t>）</w:t>
      </w:r>
    </w:p>
    <w:p w14:paraId="24E4EE28">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76E7D4D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right="0" w:rightChars="0" w:firstLine="632" w:firstLineChars="200"/>
        <w:contextualSpacing/>
        <w:jc w:val="both"/>
        <w:textAlignment w:val="auto"/>
        <w:outlineLvl w:val="9"/>
        <w:rPr>
          <w:rFonts w:hint="default" w:ascii="Times New Roman" w:hAnsi="Times New Roman" w:eastAsia="仿宋_GB2312" w:cs="Times New Roman"/>
          <w:b w:val="0"/>
          <w:bCs w:val="0"/>
          <w:color w:val="000000"/>
          <w:kern w:val="0"/>
          <w:sz w:val="33"/>
          <w:szCs w:val="33"/>
          <w:highlight w:val="none"/>
          <w:shd w:val="clear" w:color="auto" w:fill="FFFFFF"/>
          <w:lang w:val="en-US" w:eastAsia="zh-CN"/>
        </w:rPr>
      </w:pPr>
      <w:r>
        <w:rPr>
          <w:rFonts w:hint="eastAsia" w:ascii="Times New Roman" w:hAnsi="Times New Roman" w:eastAsia="仿宋" w:cs="Times New Roman"/>
          <w:color w:val="auto"/>
          <w:kern w:val="0"/>
          <w:sz w:val="32"/>
          <w:szCs w:val="32"/>
          <w:lang w:val="en-US" w:eastAsia="zh-CN" w:bidi="ar-SA"/>
        </w:rPr>
        <w:t>2024年项目资金</w:t>
      </w:r>
      <w:r>
        <w:rPr>
          <w:rFonts w:hint="default" w:ascii="Times New Roman" w:hAnsi="Times New Roman" w:eastAsia="仿宋" w:cs="Times New Roman"/>
          <w:color w:val="auto"/>
          <w:kern w:val="0"/>
          <w:sz w:val="32"/>
          <w:szCs w:val="32"/>
          <w:lang w:val="en-US" w:eastAsia="zh-CN" w:bidi="ar-SA"/>
        </w:rPr>
        <w:t>结余</w:t>
      </w:r>
      <w:r>
        <w:rPr>
          <w:rFonts w:hint="eastAsia" w:ascii="Times New Roman" w:hAnsi="Times New Roman" w:eastAsia="仿宋" w:cs="Times New Roman"/>
          <w:color w:val="auto"/>
          <w:kern w:val="0"/>
          <w:sz w:val="32"/>
          <w:szCs w:val="32"/>
          <w:lang w:val="en-US" w:eastAsia="zh-CN" w:bidi="ar-SA"/>
        </w:rPr>
        <w:t>情况如下</w:t>
      </w:r>
      <w:r>
        <w:rPr>
          <w:rFonts w:hint="eastAsia" w:cs="Times New Roman"/>
          <w:b w:val="0"/>
          <w:bCs w:val="0"/>
          <w:color w:val="000000"/>
          <w:kern w:val="0"/>
          <w:sz w:val="33"/>
          <w:szCs w:val="33"/>
          <w:highlight w:val="none"/>
          <w:shd w:val="clear" w:color="auto" w:fill="FFFFFF"/>
          <w:lang w:val="en-US" w:eastAsia="zh-CN"/>
        </w:rPr>
        <w:t>：</w:t>
      </w:r>
    </w:p>
    <w:tbl>
      <w:tblPr>
        <w:tblStyle w:val="18"/>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1373"/>
        <w:gridCol w:w="1739"/>
        <w:gridCol w:w="1739"/>
        <w:gridCol w:w="1740"/>
      </w:tblGrid>
      <w:tr w14:paraId="2291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007" w:type="dxa"/>
            <w:vAlign w:val="center"/>
          </w:tcPr>
          <w:p w14:paraId="5FE3B27C">
            <w:pPr>
              <w:pStyle w:val="28"/>
              <w:pageBreakBefore w:val="0"/>
              <w:kinsoku/>
              <w:wordWrap/>
              <w:overflowPunct/>
              <w:topLinePunct w:val="0"/>
              <w:autoSpaceDE/>
              <w:autoSpaceDN/>
              <w:bidi w:val="0"/>
              <w:snapToGrid w:val="0"/>
              <w:spacing w:line="360" w:lineRule="auto"/>
              <w:jc w:val="center"/>
              <w:rPr>
                <w:rFonts w:hint="default" w:ascii="Times New Roman" w:hAnsi="Times New Roman"/>
                <w:b/>
                <w:bCs w:val="0"/>
                <w:color w:val="auto"/>
                <w:spacing w:val="-20"/>
                <w:sz w:val="28"/>
                <w:szCs w:val="28"/>
                <w:lang w:val="zh-CN" w:eastAsia="zh-CN"/>
              </w:rPr>
            </w:pPr>
            <w:r>
              <w:rPr>
                <w:rFonts w:hint="eastAsia" w:ascii="Times New Roman" w:hAnsi="Times New Roman"/>
                <w:b/>
                <w:bCs w:val="0"/>
                <w:color w:val="auto"/>
                <w:spacing w:val="-20"/>
                <w:sz w:val="28"/>
                <w:szCs w:val="28"/>
                <w:lang w:val="en-US" w:eastAsia="zh-CN"/>
              </w:rPr>
              <w:t>预算项目</w:t>
            </w:r>
          </w:p>
        </w:tc>
        <w:tc>
          <w:tcPr>
            <w:tcW w:w="1373" w:type="dxa"/>
            <w:vAlign w:val="center"/>
          </w:tcPr>
          <w:p w14:paraId="7348DDC5">
            <w:pPr>
              <w:pStyle w:val="28"/>
              <w:pageBreakBefore w:val="0"/>
              <w:kinsoku/>
              <w:wordWrap/>
              <w:overflowPunct/>
              <w:topLinePunct w:val="0"/>
              <w:autoSpaceDE/>
              <w:autoSpaceDN/>
              <w:bidi w:val="0"/>
              <w:snapToGrid w:val="0"/>
              <w:spacing w:line="360" w:lineRule="auto"/>
              <w:jc w:val="center"/>
              <w:rPr>
                <w:rFonts w:hint="default" w:ascii="Times New Roman" w:hAnsi="Times New Roman"/>
                <w:b/>
                <w:bCs w:val="0"/>
                <w:color w:val="auto"/>
                <w:spacing w:val="-20"/>
                <w:sz w:val="28"/>
                <w:szCs w:val="28"/>
                <w:lang w:val="en-US" w:eastAsia="zh-CN"/>
              </w:rPr>
            </w:pPr>
            <w:r>
              <w:rPr>
                <w:rFonts w:hint="eastAsia" w:ascii="Times New Roman" w:hAnsi="Times New Roman"/>
                <w:b/>
                <w:bCs w:val="0"/>
                <w:color w:val="auto"/>
                <w:spacing w:val="-20"/>
                <w:sz w:val="28"/>
                <w:szCs w:val="28"/>
                <w:lang w:val="en-US" w:eastAsia="zh-CN"/>
              </w:rPr>
              <w:t>年初预算数</w:t>
            </w:r>
          </w:p>
        </w:tc>
        <w:tc>
          <w:tcPr>
            <w:tcW w:w="1739" w:type="dxa"/>
            <w:vAlign w:val="center"/>
          </w:tcPr>
          <w:p w14:paraId="79197692">
            <w:pPr>
              <w:pStyle w:val="28"/>
              <w:pageBreakBefore w:val="0"/>
              <w:kinsoku/>
              <w:wordWrap/>
              <w:overflowPunct/>
              <w:topLinePunct w:val="0"/>
              <w:autoSpaceDE/>
              <w:autoSpaceDN/>
              <w:bidi w:val="0"/>
              <w:snapToGrid w:val="0"/>
              <w:spacing w:line="360" w:lineRule="auto"/>
              <w:jc w:val="center"/>
              <w:rPr>
                <w:rFonts w:hint="default" w:ascii="Times New Roman" w:hAnsi="Times New Roman"/>
                <w:b/>
                <w:bCs w:val="0"/>
                <w:color w:val="auto"/>
                <w:spacing w:val="-20"/>
                <w:sz w:val="28"/>
                <w:szCs w:val="28"/>
                <w:lang w:val="en-US" w:eastAsia="zh-CN"/>
              </w:rPr>
            </w:pPr>
            <w:r>
              <w:rPr>
                <w:rFonts w:hint="eastAsia" w:ascii="Times New Roman" w:hAnsi="Times New Roman"/>
                <w:b/>
                <w:bCs w:val="0"/>
                <w:color w:val="auto"/>
                <w:spacing w:val="-20"/>
                <w:sz w:val="28"/>
                <w:szCs w:val="28"/>
                <w:lang w:val="en-US" w:eastAsia="zh-CN"/>
              </w:rPr>
              <w:t>调整后预算数</w:t>
            </w:r>
          </w:p>
        </w:tc>
        <w:tc>
          <w:tcPr>
            <w:tcW w:w="1739" w:type="dxa"/>
            <w:vAlign w:val="center"/>
          </w:tcPr>
          <w:p w14:paraId="22103C12">
            <w:pPr>
              <w:pStyle w:val="28"/>
              <w:pageBreakBefore w:val="0"/>
              <w:kinsoku/>
              <w:wordWrap/>
              <w:overflowPunct/>
              <w:topLinePunct w:val="0"/>
              <w:autoSpaceDE/>
              <w:autoSpaceDN/>
              <w:bidi w:val="0"/>
              <w:snapToGrid w:val="0"/>
              <w:spacing w:line="360" w:lineRule="auto"/>
              <w:jc w:val="center"/>
              <w:rPr>
                <w:rFonts w:hint="default" w:ascii="Times New Roman" w:hAnsi="Times New Roman"/>
                <w:b/>
                <w:bCs w:val="0"/>
                <w:color w:val="auto"/>
                <w:spacing w:val="-20"/>
                <w:sz w:val="28"/>
                <w:szCs w:val="28"/>
                <w:lang w:val="en-US" w:eastAsia="zh-CN"/>
              </w:rPr>
            </w:pPr>
            <w:r>
              <w:rPr>
                <w:rFonts w:hint="eastAsia" w:ascii="Times New Roman" w:hAnsi="Times New Roman"/>
                <w:b/>
                <w:bCs w:val="0"/>
                <w:color w:val="auto"/>
                <w:spacing w:val="-20"/>
                <w:sz w:val="28"/>
                <w:szCs w:val="28"/>
                <w:lang w:val="en-US" w:eastAsia="zh-CN"/>
              </w:rPr>
              <w:t>预算执行数</w:t>
            </w:r>
          </w:p>
        </w:tc>
        <w:tc>
          <w:tcPr>
            <w:tcW w:w="1740" w:type="dxa"/>
            <w:vAlign w:val="center"/>
          </w:tcPr>
          <w:p w14:paraId="43A2811F">
            <w:pPr>
              <w:pStyle w:val="28"/>
              <w:pageBreakBefore w:val="0"/>
              <w:kinsoku/>
              <w:wordWrap/>
              <w:overflowPunct/>
              <w:topLinePunct w:val="0"/>
              <w:autoSpaceDE/>
              <w:autoSpaceDN/>
              <w:bidi w:val="0"/>
              <w:snapToGrid w:val="0"/>
              <w:spacing w:line="360" w:lineRule="auto"/>
              <w:jc w:val="center"/>
              <w:rPr>
                <w:rFonts w:hint="default" w:ascii="Times New Roman" w:hAnsi="Times New Roman"/>
                <w:b/>
                <w:bCs w:val="0"/>
                <w:color w:val="auto"/>
                <w:spacing w:val="-20"/>
                <w:sz w:val="28"/>
                <w:szCs w:val="28"/>
                <w:lang w:val="en-US" w:eastAsia="zh-CN"/>
              </w:rPr>
            </w:pPr>
            <w:r>
              <w:rPr>
                <w:rFonts w:hint="eastAsia" w:ascii="Times New Roman" w:hAnsi="Times New Roman"/>
                <w:b/>
                <w:bCs w:val="0"/>
                <w:color w:val="auto"/>
                <w:spacing w:val="-20"/>
                <w:sz w:val="28"/>
                <w:szCs w:val="28"/>
                <w:lang w:val="en-US" w:eastAsia="zh-CN"/>
              </w:rPr>
              <w:t>年末结余</w:t>
            </w:r>
          </w:p>
        </w:tc>
      </w:tr>
      <w:tr w14:paraId="0ACF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007" w:type="dxa"/>
            <w:vAlign w:val="center"/>
          </w:tcPr>
          <w:p w14:paraId="7BC017FF">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现代职业教育质量提升计划资金</w:t>
            </w:r>
          </w:p>
        </w:tc>
        <w:tc>
          <w:tcPr>
            <w:tcW w:w="1373" w:type="dxa"/>
            <w:vAlign w:val="center"/>
          </w:tcPr>
          <w:p w14:paraId="58690A12">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u w:val="none"/>
                <w:lang w:val="en-US" w:eastAsia="zh-CN"/>
              </w:rPr>
              <w:t>204.46</w:t>
            </w:r>
          </w:p>
        </w:tc>
        <w:tc>
          <w:tcPr>
            <w:tcW w:w="1739" w:type="dxa"/>
            <w:vAlign w:val="center"/>
          </w:tcPr>
          <w:p w14:paraId="6939E4EB">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2704.46</w:t>
            </w:r>
          </w:p>
        </w:tc>
        <w:tc>
          <w:tcPr>
            <w:tcW w:w="1739" w:type="dxa"/>
            <w:vAlign w:val="center"/>
          </w:tcPr>
          <w:p w14:paraId="13606F8A">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2212.13</w:t>
            </w:r>
          </w:p>
        </w:tc>
        <w:tc>
          <w:tcPr>
            <w:tcW w:w="1740" w:type="dxa"/>
            <w:vAlign w:val="center"/>
          </w:tcPr>
          <w:p w14:paraId="64F17A60">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zh-CN" w:eastAsia="zh-CN"/>
              </w:rPr>
            </w:pPr>
            <w:r>
              <w:rPr>
                <w:rFonts w:hint="eastAsia" w:ascii="Times New Roman" w:hAnsi="Times New Roman"/>
                <w:b w:val="0"/>
                <w:bCs/>
                <w:color w:val="auto"/>
                <w:spacing w:val="-23"/>
                <w:w w:val="90"/>
                <w:sz w:val="28"/>
                <w:szCs w:val="28"/>
                <w:lang w:val="en-US" w:eastAsia="zh-CN"/>
              </w:rPr>
              <w:t>492.33</w:t>
            </w:r>
          </w:p>
        </w:tc>
      </w:tr>
      <w:tr w14:paraId="3A5A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007" w:type="dxa"/>
            <w:vAlign w:val="center"/>
          </w:tcPr>
          <w:p w14:paraId="03B8AA23">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支持中等职业教育发展资金</w:t>
            </w:r>
          </w:p>
        </w:tc>
        <w:tc>
          <w:tcPr>
            <w:tcW w:w="1373" w:type="dxa"/>
            <w:vAlign w:val="center"/>
          </w:tcPr>
          <w:p w14:paraId="32ED5BBC">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0</w:t>
            </w:r>
          </w:p>
        </w:tc>
        <w:tc>
          <w:tcPr>
            <w:tcW w:w="1739" w:type="dxa"/>
            <w:vAlign w:val="center"/>
          </w:tcPr>
          <w:p w14:paraId="70CC40F4">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1641.86</w:t>
            </w:r>
          </w:p>
        </w:tc>
        <w:tc>
          <w:tcPr>
            <w:tcW w:w="1739" w:type="dxa"/>
            <w:vAlign w:val="center"/>
          </w:tcPr>
          <w:p w14:paraId="026E60EA">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66.86</w:t>
            </w:r>
          </w:p>
        </w:tc>
        <w:tc>
          <w:tcPr>
            <w:tcW w:w="1740" w:type="dxa"/>
            <w:vAlign w:val="center"/>
          </w:tcPr>
          <w:p w14:paraId="76DB1067">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zh-CN" w:eastAsia="zh-CN"/>
              </w:rPr>
            </w:pPr>
            <w:r>
              <w:rPr>
                <w:rFonts w:hint="eastAsia" w:ascii="Times New Roman" w:hAnsi="Times New Roman"/>
                <w:b w:val="0"/>
                <w:bCs/>
                <w:color w:val="auto"/>
                <w:spacing w:val="-23"/>
                <w:w w:val="90"/>
                <w:sz w:val="28"/>
                <w:szCs w:val="28"/>
                <w:lang w:val="en-US" w:eastAsia="zh-CN"/>
              </w:rPr>
              <w:t>1575.00</w:t>
            </w:r>
          </w:p>
        </w:tc>
      </w:tr>
      <w:tr w14:paraId="2908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007" w:type="dxa"/>
            <w:vAlign w:val="center"/>
          </w:tcPr>
          <w:p w14:paraId="5BCE4852">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省级教师培训计划资金</w:t>
            </w:r>
          </w:p>
        </w:tc>
        <w:tc>
          <w:tcPr>
            <w:tcW w:w="1373" w:type="dxa"/>
            <w:vAlign w:val="center"/>
          </w:tcPr>
          <w:p w14:paraId="55BDF926">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0</w:t>
            </w:r>
          </w:p>
        </w:tc>
        <w:tc>
          <w:tcPr>
            <w:tcW w:w="1739" w:type="dxa"/>
            <w:vAlign w:val="center"/>
          </w:tcPr>
          <w:p w14:paraId="373DFA59">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4.00</w:t>
            </w:r>
          </w:p>
        </w:tc>
        <w:tc>
          <w:tcPr>
            <w:tcW w:w="1739" w:type="dxa"/>
            <w:vAlign w:val="center"/>
          </w:tcPr>
          <w:p w14:paraId="0D4DA702">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4.00</w:t>
            </w:r>
          </w:p>
        </w:tc>
        <w:tc>
          <w:tcPr>
            <w:tcW w:w="1740" w:type="dxa"/>
            <w:vAlign w:val="center"/>
          </w:tcPr>
          <w:p w14:paraId="76BB6899">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zh-CN" w:eastAsia="zh-CN"/>
              </w:rPr>
            </w:pPr>
            <w:r>
              <w:rPr>
                <w:rFonts w:hint="eastAsia" w:ascii="Times New Roman" w:hAnsi="Times New Roman"/>
                <w:b w:val="0"/>
                <w:bCs/>
                <w:color w:val="auto"/>
                <w:spacing w:val="-23"/>
                <w:w w:val="90"/>
                <w:sz w:val="28"/>
                <w:szCs w:val="28"/>
                <w:lang w:val="en-US" w:eastAsia="zh-CN"/>
              </w:rPr>
              <w:t>4.00</w:t>
            </w:r>
          </w:p>
        </w:tc>
      </w:tr>
      <w:tr w14:paraId="5775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007" w:type="dxa"/>
            <w:vAlign w:val="center"/>
          </w:tcPr>
          <w:p w14:paraId="737078B1">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合计</w:t>
            </w:r>
          </w:p>
        </w:tc>
        <w:tc>
          <w:tcPr>
            <w:tcW w:w="1373" w:type="dxa"/>
            <w:vAlign w:val="center"/>
          </w:tcPr>
          <w:p w14:paraId="5BB18094">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strike w:val="0"/>
                <w:dstrike w:val="0"/>
                <w:color w:val="auto"/>
                <w:spacing w:val="-23"/>
                <w:w w:val="90"/>
                <w:sz w:val="28"/>
                <w:szCs w:val="28"/>
                <w:lang w:val="en-US" w:eastAsia="zh-CN"/>
              </w:rPr>
            </w:pPr>
            <w:r>
              <w:rPr>
                <w:rFonts w:hint="eastAsia" w:ascii="Times New Roman" w:hAnsi="Times New Roman"/>
                <w:b w:val="0"/>
                <w:bCs/>
                <w:strike w:val="0"/>
                <w:dstrike w:val="0"/>
                <w:color w:val="auto"/>
                <w:spacing w:val="-23"/>
                <w:w w:val="90"/>
                <w:sz w:val="28"/>
                <w:szCs w:val="28"/>
                <w:lang w:val="en-US" w:eastAsia="zh-CN"/>
              </w:rPr>
              <w:t>204.46</w:t>
            </w:r>
          </w:p>
        </w:tc>
        <w:tc>
          <w:tcPr>
            <w:tcW w:w="1739" w:type="dxa"/>
            <w:vAlign w:val="center"/>
          </w:tcPr>
          <w:p w14:paraId="479A21E2">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4350.32</w:t>
            </w:r>
          </w:p>
        </w:tc>
        <w:tc>
          <w:tcPr>
            <w:tcW w:w="1739" w:type="dxa"/>
            <w:vAlign w:val="center"/>
          </w:tcPr>
          <w:p w14:paraId="7B1DE17B">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2282.99</w:t>
            </w:r>
          </w:p>
        </w:tc>
        <w:tc>
          <w:tcPr>
            <w:tcW w:w="1740" w:type="dxa"/>
            <w:vAlign w:val="center"/>
          </w:tcPr>
          <w:p w14:paraId="7C670313">
            <w:pPr>
              <w:pStyle w:val="28"/>
              <w:pageBreakBefore w:val="0"/>
              <w:kinsoku/>
              <w:wordWrap/>
              <w:overflowPunct/>
              <w:topLinePunct w:val="0"/>
              <w:autoSpaceDE/>
              <w:autoSpaceDN/>
              <w:bidi w:val="0"/>
              <w:snapToGrid w:val="0"/>
              <w:spacing w:line="360" w:lineRule="auto"/>
              <w:jc w:val="center"/>
              <w:rPr>
                <w:rFonts w:hint="default" w:ascii="Times New Roman" w:hAnsi="Times New Roman"/>
                <w:b w:val="0"/>
                <w:bCs/>
                <w:color w:val="auto"/>
                <w:spacing w:val="-23"/>
                <w:w w:val="90"/>
                <w:sz w:val="28"/>
                <w:szCs w:val="28"/>
                <w:lang w:val="en-US" w:eastAsia="zh-CN"/>
              </w:rPr>
            </w:pPr>
            <w:r>
              <w:rPr>
                <w:rFonts w:hint="eastAsia" w:ascii="Times New Roman" w:hAnsi="Times New Roman"/>
                <w:b w:val="0"/>
                <w:bCs/>
                <w:color w:val="auto"/>
                <w:spacing w:val="-23"/>
                <w:w w:val="90"/>
                <w:sz w:val="28"/>
                <w:szCs w:val="28"/>
                <w:lang w:val="en-US" w:eastAsia="zh-CN"/>
              </w:rPr>
              <w:t>2071.33</w:t>
            </w:r>
          </w:p>
        </w:tc>
      </w:tr>
    </w:tbl>
    <w:p w14:paraId="1CED2136">
      <w:pPr>
        <w:pStyle w:val="2"/>
        <w:pageBreakBefore w:val="0"/>
        <w:numPr>
          <w:ilvl w:val="0"/>
          <w:numId w:val="0"/>
        </w:numPr>
        <w:kinsoku/>
        <w:wordWrap/>
        <w:overflowPunct/>
        <w:topLinePunct w:val="0"/>
        <w:autoSpaceDE/>
        <w:autoSpaceDN/>
        <w:bidi w:val="0"/>
        <w:snapToGrid w:val="0"/>
        <w:spacing w:line="360" w:lineRule="auto"/>
        <w:ind w:leftChars="0"/>
        <w:rPr>
          <w:rFonts w:hint="eastAsia"/>
          <w:lang w:val="en-US" w:eastAsia="zh-CN"/>
        </w:rPr>
      </w:pPr>
      <w:r>
        <w:rPr>
          <w:rFonts w:hint="eastAsia"/>
          <w:lang w:val="en-US" w:eastAsia="zh-CN"/>
        </w:rPr>
        <w:t xml:space="preserve">  </w:t>
      </w:r>
    </w:p>
    <w:p w14:paraId="3AD0714E">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2024年资金结余较多是由于2024年11月财政拨入现代职业教育质量提升计划资金600.00万元、支持中等职业教育发展资金1575.00万元、省级教师培训计划资金4.00万元，项目未完工，资金未支付。</w:t>
      </w:r>
    </w:p>
    <w:p w14:paraId="1F3579F5">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w:t>
      </w:r>
      <w:r>
        <w:rPr>
          <w:rFonts w:hint="eastAsia" w:eastAsia="黑体" w:cs="Times New Roman"/>
          <w:color w:val="000000"/>
          <w:kern w:val="0"/>
          <w:sz w:val="32"/>
          <w:szCs w:val="32"/>
          <w:highlight w:val="none"/>
          <w:shd w:val="clear" w:color="auto" w:fill="FFFFFF"/>
          <w:lang w:val="en-US" w:eastAsia="zh-CN"/>
        </w:rPr>
        <w:t>单位</w:t>
      </w:r>
      <w:r>
        <w:rPr>
          <w:rFonts w:hint="default" w:ascii="Times New Roman" w:hAnsi="Times New Roman" w:eastAsia="黑体" w:cs="Times New Roman"/>
          <w:color w:val="000000"/>
          <w:kern w:val="0"/>
          <w:sz w:val="32"/>
          <w:szCs w:val="32"/>
          <w:highlight w:val="none"/>
          <w:shd w:val="clear" w:color="auto" w:fill="FFFFFF"/>
          <w:lang w:val="zh-CN" w:eastAsia="zh-CN"/>
        </w:rPr>
        <w:t>预算绩效分析</w:t>
      </w:r>
    </w:p>
    <w:p w14:paraId="60F5A4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6048D5A7">
      <w:pPr>
        <w:keepNext w:val="0"/>
        <w:keepLines w:val="0"/>
        <w:pageBreakBefore w:val="0"/>
        <w:widowControl/>
        <w:kinsoku/>
        <w:wordWrap/>
        <w:overflowPunct/>
        <w:topLinePunct w:val="0"/>
        <w:autoSpaceDE/>
        <w:autoSpaceDN/>
        <w:bidi w:val="0"/>
        <w:adjustRightInd w:val="0"/>
        <w:snapToGrid w:val="0"/>
        <w:spacing w:line="360" w:lineRule="auto"/>
        <w:ind w:firstLine="632" w:firstLineChars="200"/>
        <w:contextualSpacing/>
        <w:jc w:val="left"/>
        <w:textAlignment w:val="auto"/>
        <w:rPr>
          <w:rFonts w:hint="eastAsia" w:ascii="仿宋" w:hAnsi="仿宋" w:eastAsia="仿宋" w:cs="仿宋"/>
          <w:b/>
          <w:bCs/>
          <w:color w:val="auto"/>
          <w:kern w:val="0"/>
          <w:sz w:val="32"/>
          <w:szCs w:val="32"/>
          <w:shd w:val="clear" w:color="auto" w:fill="FFFFFF"/>
          <w:lang w:val="zh-CN"/>
        </w:rPr>
      </w:pPr>
      <w:r>
        <w:rPr>
          <w:rFonts w:hint="eastAsia" w:ascii="仿宋" w:hAnsi="仿宋" w:eastAsia="仿宋" w:cs="仿宋"/>
          <w:b/>
          <w:bCs/>
          <w:color w:val="auto"/>
          <w:kern w:val="0"/>
          <w:sz w:val="32"/>
          <w:szCs w:val="32"/>
          <w:shd w:val="clear" w:color="auto" w:fill="FFFFFF"/>
          <w:lang w:val="zh-CN"/>
        </w:rPr>
        <w:t>1.</w:t>
      </w:r>
      <w:r>
        <w:rPr>
          <w:rFonts w:hint="eastAsia" w:ascii="仿宋" w:hAnsi="仿宋" w:eastAsia="仿宋" w:cs="仿宋"/>
          <w:b/>
          <w:bCs/>
          <w:color w:val="auto"/>
          <w:kern w:val="0"/>
          <w:sz w:val="32"/>
          <w:szCs w:val="32"/>
          <w:shd w:val="clear" w:color="auto" w:fill="FFFFFF"/>
          <w:lang w:val="en-US" w:eastAsia="zh-CN"/>
        </w:rPr>
        <w:t>单位</w:t>
      </w:r>
      <w:r>
        <w:rPr>
          <w:rFonts w:hint="eastAsia" w:ascii="仿宋" w:hAnsi="仿宋" w:eastAsia="仿宋" w:cs="仿宋"/>
          <w:b/>
          <w:bCs/>
          <w:color w:val="auto"/>
          <w:kern w:val="0"/>
          <w:sz w:val="32"/>
          <w:szCs w:val="32"/>
          <w:shd w:val="clear" w:color="auto" w:fill="FFFFFF"/>
          <w:lang w:val="zh-CN"/>
        </w:rPr>
        <w:t>绩效目标制定</w:t>
      </w:r>
    </w:p>
    <w:p w14:paraId="60A725C0">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zh-CN" w:eastAsia="zh-CN" w:bidi="ar-SA"/>
        </w:rPr>
      </w:pPr>
      <w:r>
        <w:rPr>
          <w:rFonts w:hint="eastAsia" w:ascii="Times New Roman" w:hAnsi="Times New Roman" w:eastAsia="仿宋" w:cs="Times New Roman"/>
          <w:color w:val="auto"/>
          <w:kern w:val="0"/>
          <w:sz w:val="32"/>
          <w:szCs w:val="32"/>
          <w:lang w:val="zh-CN" w:eastAsia="zh-CN" w:bidi="ar-SA"/>
        </w:rPr>
        <w:t>202</w:t>
      </w:r>
      <w:r>
        <w:rPr>
          <w:rFonts w:hint="eastAsia" w:ascii="Times New Roman" w:hAnsi="Times New Roman" w:eastAsia="仿宋" w:cs="Times New Roman"/>
          <w:color w:val="auto"/>
          <w:kern w:val="0"/>
          <w:sz w:val="32"/>
          <w:szCs w:val="32"/>
          <w:lang w:val="en-US" w:eastAsia="zh-CN" w:bidi="ar-SA"/>
        </w:rPr>
        <w:t>4</w:t>
      </w:r>
      <w:r>
        <w:rPr>
          <w:rFonts w:hint="eastAsia" w:ascii="Times New Roman" w:hAnsi="Times New Roman" w:eastAsia="仿宋" w:cs="Times New Roman"/>
          <w:color w:val="auto"/>
          <w:kern w:val="0"/>
          <w:sz w:val="32"/>
          <w:szCs w:val="32"/>
          <w:lang w:val="zh-CN" w:eastAsia="zh-CN" w:bidi="ar-SA"/>
        </w:rPr>
        <w:t>年我校的主要工作如下：</w:t>
      </w:r>
    </w:p>
    <w:p w14:paraId="5DD6249E">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一是提升教学质量，全面完成教育教学工作，提高学生的技能水平，为社会提供可用人才。</w:t>
      </w:r>
    </w:p>
    <w:p w14:paraId="2D25D77F">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二是改善学校办学条件，利用有限的资金改善学校环境。</w:t>
      </w:r>
    </w:p>
    <w:p w14:paraId="17E17783">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三是教师培训，进一步提高教师的教学能力。</w:t>
      </w:r>
      <w:r>
        <w:rPr>
          <w:rFonts w:hint="eastAsia" w:ascii="Times New Roman" w:hAnsi="Times New Roman" w:eastAsia="仿宋" w:cs="Times New Roman"/>
          <w:color w:val="auto"/>
          <w:kern w:val="0"/>
          <w:sz w:val="32"/>
          <w:szCs w:val="32"/>
          <w:lang w:val="en-US" w:eastAsia="zh-CN" w:bidi="ar-SA"/>
        </w:rPr>
        <w:tab/>
      </w:r>
    </w:p>
    <w:p w14:paraId="0C1620FF">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四是进一步提升学校信息化管理水平，充分</w:t>
      </w:r>
      <w:r>
        <w:rPr>
          <w:rFonts w:hint="eastAsia" w:ascii="Times New Roman" w:hAnsi="Times New Roman" w:eastAsia="仿宋" w:cs="Times New Roman"/>
          <w:color w:val="auto"/>
          <w:kern w:val="0"/>
          <w:sz w:val="32"/>
          <w:szCs w:val="32"/>
          <w:lang w:val="en-US" w:eastAsia="zh-CN" w:bidi="ar-SA"/>
        </w:rPr>
        <w:tab/>
      </w:r>
      <w:r>
        <w:rPr>
          <w:rFonts w:hint="eastAsia" w:ascii="Times New Roman" w:hAnsi="Times New Roman" w:eastAsia="仿宋" w:cs="Times New Roman"/>
          <w:color w:val="auto"/>
          <w:kern w:val="0"/>
          <w:sz w:val="32"/>
          <w:szCs w:val="32"/>
          <w:lang w:val="en-US" w:eastAsia="zh-CN" w:bidi="ar-SA"/>
        </w:rPr>
        <w:t>合理使用资金改善学校的设施设备，充分使用各种信息化平台提高学校的管理水平。</w:t>
      </w:r>
    </w:p>
    <w:p w14:paraId="2DC53CA3">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五是党建工作，建立以党组织为核心并领导全体职工全面完成学校的各项工作。</w:t>
      </w:r>
      <w:r>
        <w:rPr>
          <w:rFonts w:hint="eastAsia" w:ascii="Times New Roman" w:hAnsi="Times New Roman" w:eastAsia="仿宋" w:cs="Times New Roman"/>
          <w:color w:val="auto"/>
          <w:kern w:val="0"/>
          <w:sz w:val="32"/>
          <w:szCs w:val="32"/>
          <w:lang w:val="en-US" w:eastAsia="zh-CN" w:bidi="ar-SA"/>
        </w:rPr>
        <w:tab/>
      </w:r>
    </w:p>
    <w:p w14:paraId="01F944C6">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default" w:ascii="Times New Roman" w:hAnsi="Times New Roman" w:eastAsia="仿宋" w:cs="Times New Roman"/>
          <w:color w:val="auto"/>
          <w:kern w:val="0"/>
          <w:sz w:val="32"/>
          <w:szCs w:val="32"/>
          <w:lang w:val="en-US" w:eastAsia="zh-CN" w:bidi="ar-SA"/>
        </w:rPr>
      </w:pPr>
      <w:r>
        <w:rPr>
          <w:rFonts w:hint="eastAsia" w:ascii="Times New Roman" w:hAnsi="Times New Roman" w:eastAsia="仿宋" w:cs="Times New Roman"/>
          <w:color w:val="auto"/>
          <w:kern w:val="0"/>
          <w:sz w:val="32"/>
          <w:szCs w:val="32"/>
          <w:lang w:val="en-US" w:eastAsia="zh-CN" w:bidi="ar-SA"/>
        </w:rPr>
        <w:t>六是校外实训基地建设，充分利用实训基地</w:t>
      </w:r>
      <w:r>
        <w:rPr>
          <w:rFonts w:hint="eastAsia" w:ascii="Times New Roman" w:hAnsi="Times New Roman" w:eastAsia="仿宋" w:cs="Times New Roman"/>
          <w:color w:val="auto"/>
          <w:kern w:val="0"/>
          <w:sz w:val="32"/>
          <w:szCs w:val="32"/>
          <w:lang w:val="en-US" w:eastAsia="zh-CN" w:bidi="ar-SA"/>
        </w:rPr>
        <w:tab/>
      </w:r>
      <w:r>
        <w:rPr>
          <w:rFonts w:hint="eastAsia" w:ascii="Times New Roman" w:hAnsi="Times New Roman" w:eastAsia="仿宋" w:cs="Times New Roman"/>
          <w:color w:val="auto"/>
          <w:kern w:val="0"/>
          <w:sz w:val="32"/>
          <w:szCs w:val="32"/>
          <w:lang w:val="en-US" w:eastAsia="zh-CN" w:bidi="ar-SA"/>
        </w:rPr>
        <w:t>对学生的各项技能培训取得良好的效果。</w:t>
      </w:r>
    </w:p>
    <w:p w14:paraId="036AA957">
      <w:pPr>
        <w:keepNext w:val="0"/>
        <w:keepLines w:val="0"/>
        <w:pageBreakBefore w:val="0"/>
        <w:widowControl/>
        <w:kinsoku/>
        <w:wordWrap/>
        <w:overflowPunct/>
        <w:topLinePunct w:val="0"/>
        <w:autoSpaceDE/>
        <w:autoSpaceDN/>
        <w:bidi w:val="0"/>
        <w:adjustRightInd w:val="0"/>
        <w:snapToGrid w:val="0"/>
        <w:spacing w:line="360" w:lineRule="auto"/>
        <w:ind w:firstLine="632" w:firstLineChars="200"/>
        <w:contextualSpacing/>
        <w:jc w:val="left"/>
        <w:textAlignment w:val="auto"/>
        <w:rPr>
          <w:rFonts w:hint="eastAsia" w:ascii="仿宋" w:hAnsi="仿宋" w:eastAsia="仿宋" w:cs="仿宋"/>
          <w:b/>
          <w:bCs/>
          <w:color w:val="auto"/>
          <w:kern w:val="0"/>
          <w:sz w:val="32"/>
          <w:szCs w:val="32"/>
          <w:shd w:val="clear" w:color="auto" w:fill="FFFFFF"/>
          <w:lang w:val="zh-CN"/>
        </w:rPr>
      </w:pPr>
      <w:r>
        <w:rPr>
          <w:rFonts w:hint="eastAsia" w:ascii="仿宋" w:hAnsi="仿宋" w:eastAsia="仿宋" w:cs="仿宋"/>
          <w:b/>
          <w:bCs/>
          <w:color w:val="auto"/>
          <w:kern w:val="0"/>
          <w:sz w:val="32"/>
          <w:szCs w:val="32"/>
          <w:shd w:val="clear" w:color="auto" w:fill="FFFFFF"/>
          <w:lang w:val="zh-CN"/>
        </w:rPr>
        <w:t>2.目标实现</w:t>
      </w:r>
    </w:p>
    <w:p w14:paraId="74267E2A">
      <w:pPr>
        <w:pStyle w:val="16"/>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630"/>
        <w:textAlignment w:val="auto"/>
        <w:rPr>
          <w:rFonts w:hint="eastAsia" w:ascii="仿宋_GB2312" w:hAnsi="sans-serif" w:eastAsia="仿宋_GB2312" w:cs="仿宋_GB2312"/>
          <w:color w:val="auto"/>
          <w:sz w:val="32"/>
          <w:szCs w:val="32"/>
          <w:lang w:eastAsia="zh-CN"/>
        </w:rPr>
      </w:pPr>
      <w:r>
        <w:rPr>
          <w:rFonts w:hint="eastAsia" w:ascii="仿宋_GB2312" w:hAnsi="sans-serif" w:eastAsia="仿宋_GB2312" w:cs="仿宋_GB2312"/>
          <w:color w:val="auto"/>
          <w:sz w:val="32"/>
          <w:szCs w:val="32"/>
        </w:rPr>
        <w:t>202</w:t>
      </w:r>
      <w:r>
        <w:rPr>
          <w:rFonts w:hint="eastAsia" w:ascii="仿宋_GB2312" w:hAnsi="sans-serif" w:eastAsia="仿宋_GB2312" w:cs="仿宋_GB2312"/>
          <w:color w:val="auto"/>
          <w:sz w:val="32"/>
          <w:szCs w:val="32"/>
          <w:lang w:val="en-US" w:eastAsia="zh-CN"/>
        </w:rPr>
        <w:t>4</w:t>
      </w:r>
      <w:r>
        <w:rPr>
          <w:rFonts w:hint="eastAsia" w:ascii="仿宋_GB2312" w:hAnsi="sans-serif" w:eastAsia="仿宋_GB2312" w:cs="仿宋_GB2312"/>
          <w:color w:val="auto"/>
          <w:sz w:val="32"/>
          <w:szCs w:val="32"/>
        </w:rPr>
        <w:t>年我单位总体绩效目标是提高教学条件，保障全校师生学习生活质量提升，制定了学校三名工程三年规划目标任务。单位完满完</w:t>
      </w:r>
      <w:r>
        <w:rPr>
          <w:rFonts w:hint="eastAsia" w:ascii="仿宋_GB2312" w:hAnsi="sans-serif" w:eastAsia="仿宋_GB2312" w:cs="仿宋_GB2312"/>
          <w:color w:val="auto"/>
          <w:sz w:val="32"/>
          <w:szCs w:val="32"/>
          <w:lang w:val="en-US" w:eastAsia="zh-CN"/>
        </w:rPr>
        <w:t>各项</w:t>
      </w:r>
      <w:r>
        <w:rPr>
          <w:rFonts w:hint="eastAsia" w:ascii="仿宋_GB2312" w:hAnsi="sans-serif" w:eastAsia="仿宋_GB2312" w:cs="仿宋_GB2312"/>
          <w:color w:val="auto"/>
          <w:sz w:val="32"/>
          <w:szCs w:val="32"/>
        </w:rPr>
        <w:t>教育教学工作，改善教职工的生活学习条件，增加教学设施设备，增加师资力量，充分利用多媒体教学，提高教师的入职标准及入职学历;完善了学校的硬件设备，提高教学质量，打造高规格标准的职业技术学校，提高了学校的形象和口碑</w:t>
      </w:r>
      <w:r>
        <w:rPr>
          <w:rFonts w:hint="eastAsia" w:ascii="仿宋_GB2312" w:hAnsi="sans-serif" w:eastAsia="仿宋_GB2312" w:cs="仿宋_GB2312"/>
          <w:color w:val="auto"/>
          <w:sz w:val="32"/>
          <w:szCs w:val="32"/>
          <w:lang w:eastAsia="zh-CN"/>
        </w:rPr>
        <w:t>。</w:t>
      </w:r>
    </w:p>
    <w:p w14:paraId="1DEB5D70">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200"/>
        <w:textAlignment w:val="auto"/>
        <w:rPr>
          <w:rFonts w:hint="eastAsia" w:eastAsia="楷体_GB2312"/>
          <w:b/>
          <w:color w:val="auto"/>
          <w:sz w:val="32"/>
          <w:szCs w:val="32"/>
          <w:lang w:val="zh-CN"/>
        </w:rPr>
      </w:pPr>
      <w:r>
        <w:rPr>
          <w:rFonts w:hint="eastAsia" w:eastAsia="楷体_GB2312"/>
          <w:b/>
          <w:color w:val="auto"/>
          <w:sz w:val="32"/>
          <w:szCs w:val="32"/>
          <w:lang w:val="zh-CN"/>
        </w:rPr>
        <w:t>人员类、运转类完成情况如下：</w:t>
      </w: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449"/>
        <w:gridCol w:w="1351"/>
        <w:gridCol w:w="1535"/>
        <w:gridCol w:w="1245"/>
        <w:gridCol w:w="1665"/>
      </w:tblGrid>
      <w:tr w14:paraId="71EA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trPr>
        <w:tc>
          <w:tcPr>
            <w:tcW w:w="1471" w:type="dxa"/>
            <w:noWrap w:val="0"/>
            <w:vAlign w:val="center"/>
          </w:tcPr>
          <w:p w14:paraId="25735E0D">
            <w:pPr>
              <w:pStyle w:val="28"/>
              <w:pageBreakBefore w:val="0"/>
              <w:kinsoku/>
              <w:wordWrap/>
              <w:overflowPunct/>
              <w:topLinePunct w:val="0"/>
              <w:autoSpaceDE/>
              <w:autoSpaceDN/>
              <w:bidi w:val="0"/>
              <w:snapToGrid w:val="0"/>
              <w:spacing w:line="360" w:lineRule="auto"/>
              <w:jc w:val="center"/>
              <w:rPr>
                <w:b/>
                <w:bCs w:val="0"/>
                <w:color w:val="auto"/>
                <w:spacing w:val="-20"/>
                <w:sz w:val="28"/>
                <w:szCs w:val="28"/>
              </w:rPr>
            </w:pPr>
            <w:r>
              <w:rPr>
                <w:rFonts w:hint="eastAsia"/>
                <w:b/>
                <w:bCs w:val="0"/>
                <w:color w:val="auto"/>
                <w:spacing w:val="-20"/>
                <w:sz w:val="28"/>
                <w:szCs w:val="28"/>
              </w:rPr>
              <w:t>项目名称</w:t>
            </w:r>
          </w:p>
        </w:tc>
        <w:tc>
          <w:tcPr>
            <w:tcW w:w="1449" w:type="dxa"/>
            <w:noWrap w:val="0"/>
            <w:vAlign w:val="center"/>
          </w:tcPr>
          <w:p w14:paraId="5D7ACC73">
            <w:pPr>
              <w:pStyle w:val="28"/>
              <w:pageBreakBefore w:val="0"/>
              <w:kinsoku/>
              <w:wordWrap/>
              <w:overflowPunct/>
              <w:topLinePunct w:val="0"/>
              <w:autoSpaceDE/>
              <w:autoSpaceDN/>
              <w:bidi w:val="0"/>
              <w:snapToGrid w:val="0"/>
              <w:spacing w:line="360" w:lineRule="auto"/>
              <w:jc w:val="center"/>
              <w:rPr>
                <w:b/>
                <w:bCs w:val="0"/>
                <w:color w:val="auto"/>
                <w:spacing w:val="-20"/>
                <w:sz w:val="28"/>
                <w:szCs w:val="28"/>
              </w:rPr>
            </w:pPr>
            <w:r>
              <w:rPr>
                <w:b/>
                <w:bCs w:val="0"/>
                <w:color w:val="auto"/>
                <w:spacing w:val="-20"/>
                <w:sz w:val="28"/>
                <w:szCs w:val="28"/>
              </w:rPr>
              <w:t>年度预算</w:t>
            </w:r>
          </w:p>
        </w:tc>
        <w:tc>
          <w:tcPr>
            <w:tcW w:w="1351" w:type="dxa"/>
            <w:noWrap w:val="0"/>
            <w:vAlign w:val="center"/>
          </w:tcPr>
          <w:p w14:paraId="2C2EB537">
            <w:pPr>
              <w:pStyle w:val="28"/>
              <w:pageBreakBefore w:val="0"/>
              <w:kinsoku/>
              <w:wordWrap/>
              <w:overflowPunct/>
              <w:topLinePunct w:val="0"/>
              <w:autoSpaceDE/>
              <w:autoSpaceDN/>
              <w:bidi w:val="0"/>
              <w:snapToGrid w:val="0"/>
              <w:spacing w:line="360" w:lineRule="auto"/>
              <w:jc w:val="center"/>
              <w:rPr>
                <w:b/>
                <w:bCs w:val="0"/>
                <w:color w:val="auto"/>
                <w:spacing w:val="-20"/>
                <w:sz w:val="28"/>
                <w:szCs w:val="28"/>
              </w:rPr>
            </w:pPr>
            <w:r>
              <w:rPr>
                <w:b/>
                <w:bCs w:val="0"/>
                <w:color w:val="auto"/>
                <w:spacing w:val="-20"/>
                <w:sz w:val="28"/>
                <w:szCs w:val="28"/>
              </w:rPr>
              <w:t>中期调整</w:t>
            </w:r>
          </w:p>
        </w:tc>
        <w:tc>
          <w:tcPr>
            <w:tcW w:w="1535" w:type="dxa"/>
            <w:tcBorders>
              <w:bottom w:val="single" w:color="auto" w:sz="4" w:space="0"/>
            </w:tcBorders>
            <w:noWrap w:val="0"/>
            <w:vAlign w:val="center"/>
          </w:tcPr>
          <w:p w14:paraId="73A3C413">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rPr>
            </w:pPr>
            <w:r>
              <w:rPr>
                <w:rFonts w:hint="eastAsia"/>
                <w:b/>
                <w:bCs w:val="0"/>
                <w:color w:val="auto"/>
                <w:spacing w:val="-20"/>
                <w:sz w:val="28"/>
                <w:szCs w:val="28"/>
              </w:rPr>
              <w:t>年初总预算</w:t>
            </w:r>
          </w:p>
        </w:tc>
        <w:tc>
          <w:tcPr>
            <w:tcW w:w="1245" w:type="dxa"/>
            <w:tcBorders>
              <w:bottom w:val="single" w:color="auto" w:sz="4" w:space="0"/>
            </w:tcBorders>
            <w:noWrap w:val="0"/>
            <w:vAlign w:val="center"/>
          </w:tcPr>
          <w:p w14:paraId="7C4B533C">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rPr>
            </w:pPr>
            <w:r>
              <w:rPr>
                <w:rFonts w:hint="eastAsia"/>
                <w:b/>
                <w:bCs w:val="0"/>
                <w:color w:val="auto"/>
                <w:spacing w:val="-20"/>
                <w:sz w:val="28"/>
                <w:szCs w:val="28"/>
              </w:rPr>
              <w:t>预算执行</w:t>
            </w:r>
          </w:p>
        </w:tc>
        <w:tc>
          <w:tcPr>
            <w:tcW w:w="1665" w:type="dxa"/>
            <w:noWrap w:val="0"/>
            <w:vAlign w:val="center"/>
          </w:tcPr>
          <w:p w14:paraId="30D8C86F">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rPr>
            </w:pPr>
            <w:r>
              <w:rPr>
                <w:rFonts w:hint="eastAsia"/>
                <w:b/>
                <w:bCs w:val="0"/>
                <w:color w:val="auto"/>
                <w:spacing w:val="-20"/>
                <w:sz w:val="28"/>
                <w:szCs w:val="28"/>
              </w:rPr>
              <w:t>执行率（%）</w:t>
            </w:r>
          </w:p>
        </w:tc>
      </w:tr>
      <w:tr w14:paraId="6313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71" w:type="dxa"/>
            <w:noWrap w:val="0"/>
            <w:vAlign w:val="center"/>
          </w:tcPr>
          <w:p w14:paraId="7A68823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人员类</w:t>
            </w:r>
          </w:p>
        </w:tc>
        <w:tc>
          <w:tcPr>
            <w:tcW w:w="1449" w:type="dxa"/>
            <w:shd w:val="clear" w:color="auto" w:fill="auto"/>
            <w:noWrap w:val="0"/>
            <w:vAlign w:val="center"/>
          </w:tcPr>
          <w:p w14:paraId="42CD334C">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bidi="ar-SA"/>
              </w:rPr>
            </w:pPr>
            <w:r>
              <w:rPr>
                <w:rFonts w:hint="eastAsia" w:ascii="仿宋" w:hAnsi="仿宋" w:eastAsia="仿宋" w:cs="仿宋"/>
                <w:b w:val="0"/>
                <w:bCs/>
                <w:color w:val="auto"/>
                <w:kern w:val="0"/>
                <w:sz w:val="28"/>
                <w:szCs w:val="28"/>
                <w:lang w:val="en-US" w:eastAsia="zh-CN"/>
              </w:rPr>
              <w:t>2914.43</w:t>
            </w:r>
          </w:p>
        </w:tc>
        <w:tc>
          <w:tcPr>
            <w:tcW w:w="1351" w:type="dxa"/>
            <w:tcBorders>
              <w:top w:val="nil"/>
              <w:left w:val="nil"/>
              <w:bottom w:val="single" w:color="auto" w:sz="4" w:space="0"/>
              <w:right w:val="single" w:color="auto" w:sz="8" w:space="0"/>
            </w:tcBorders>
            <w:shd w:val="clear" w:color="auto" w:fill="auto"/>
            <w:noWrap w:val="0"/>
            <w:vAlign w:val="center"/>
          </w:tcPr>
          <w:p w14:paraId="3CA6F7AA">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cs="仿宋"/>
                <w:b w:val="0"/>
                <w:bCs/>
                <w:color w:val="auto"/>
                <w:sz w:val="28"/>
                <w:szCs w:val="28"/>
                <w:lang w:val="en-US" w:eastAsia="zh-CN"/>
              </w:rPr>
              <w:t>1548.61</w:t>
            </w:r>
          </w:p>
        </w:tc>
        <w:tc>
          <w:tcPr>
            <w:tcW w:w="1535" w:type="dxa"/>
            <w:tcBorders>
              <w:top w:val="single" w:color="auto" w:sz="4" w:space="0"/>
              <w:left w:val="nil"/>
              <w:bottom w:val="single" w:color="auto" w:sz="4" w:space="0"/>
              <w:right w:val="single" w:color="auto" w:sz="4" w:space="0"/>
            </w:tcBorders>
            <w:shd w:val="clear" w:color="auto" w:fill="auto"/>
            <w:noWrap w:val="0"/>
            <w:vAlign w:val="center"/>
          </w:tcPr>
          <w:p w14:paraId="76DC5535">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cs="仿宋"/>
                <w:b w:val="0"/>
                <w:bCs/>
                <w:color w:val="auto"/>
                <w:sz w:val="28"/>
                <w:szCs w:val="28"/>
                <w:lang w:val="en-US" w:eastAsia="zh-CN"/>
              </w:rPr>
              <w:t>4463.04</w:t>
            </w:r>
          </w:p>
        </w:tc>
        <w:tc>
          <w:tcPr>
            <w:tcW w:w="1245" w:type="dxa"/>
            <w:tcBorders>
              <w:top w:val="single" w:color="auto" w:sz="4" w:space="0"/>
              <w:left w:val="single" w:color="auto" w:sz="4" w:space="0"/>
              <w:bottom w:val="single" w:color="auto" w:sz="4" w:space="0"/>
              <w:right w:val="nil"/>
            </w:tcBorders>
            <w:shd w:val="clear" w:color="auto" w:fill="auto"/>
            <w:noWrap w:val="0"/>
            <w:vAlign w:val="center"/>
          </w:tcPr>
          <w:p w14:paraId="282FEB15">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cs="仿宋"/>
                <w:b w:val="0"/>
                <w:bCs/>
                <w:color w:val="auto"/>
                <w:sz w:val="28"/>
                <w:szCs w:val="28"/>
                <w:lang w:val="en-US" w:eastAsia="zh-CN"/>
              </w:rPr>
              <w:t>4463.04</w:t>
            </w:r>
          </w:p>
        </w:tc>
        <w:tc>
          <w:tcPr>
            <w:tcW w:w="1665" w:type="dxa"/>
            <w:shd w:val="clear" w:color="auto" w:fill="auto"/>
            <w:noWrap w:val="0"/>
            <w:vAlign w:val="center"/>
          </w:tcPr>
          <w:p w14:paraId="78F2BB07">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eastAsia="仿宋" w:cs="仿宋"/>
                <w:b w:val="0"/>
                <w:bCs/>
                <w:color w:val="auto"/>
                <w:sz w:val="28"/>
                <w:szCs w:val="28"/>
                <w:lang w:val="en-US" w:eastAsia="zh-CN"/>
              </w:rPr>
              <w:t>100</w:t>
            </w:r>
          </w:p>
        </w:tc>
      </w:tr>
      <w:tr w14:paraId="0610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471" w:type="dxa"/>
            <w:noWrap w:val="0"/>
            <w:vAlign w:val="center"/>
          </w:tcPr>
          <w:p w14:paraId="52D8D64C">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运转类</w:t>
            </w:r>
          </w:p>
        </w:tc>
        <w:tc>
          <w:tcPr>
            <w:tcW w:w="1449" w:type="dxa"/>
            <w:shd w:val="clear" w:color="auto" w:fill="auto"/>
            <w:noWrap w:val="0"/>
            <w:vAlign w:val="center"/>
          </w:tcPr>
          <w:p w14:paraId="47941026">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bidi="ar-SA"/>
              </w:rPr>
            </w:pPr>
            <w:r>
              <w:rPr>
                <w:rFonts w:hint="eastAsia" w:ascii="仿宋" w:hAnsi="仿宋" w:eastAsia="仿宋" w:cs="仿宋"/>
                <w:b w:val="0"/>
                <w:bCs/>
                <w:color w:val="auto"/>
                <w:kern w:val="0"/>
                <w:sz w:val="28"/>
                <w:szCs w:val="28"/>
                <w:lang w:val="en-US" w:eastAsia="zh-CN"/>
              </w:rPr>
              <w:t>124.29</w:t>
            </w:r>
          </w:p>
        </w:tc>
        <w:tc>
          <w:tcPr>
            <w:tcW w:w="1351" w:type="dxa"/>
            <w:tcBorders>
              <w:top w:val="single" w:color="auto" w:sz="4" w:space="0"/>
              <w:left w:val="nil"/>
              <w:bottom w:val="single" w:color="auto" w:sz="4" w:space="0"/>
              <w:right w:val="single" w:color="auto" w:sz="4" w:space="0"/>
            </w:tcBorders>
            <w:shd w:val="clear" w:color="auto" w:fill="auto"/>
            <w:noWrap w:val="0"/>
            <w:vAlign w:val="center"/>
          </w:tcPr>
          <w:p w14:paraId="14676686">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cs="仿宋"/>
                <w:b w:val="0"/>
                <w:bCs/>
                <w:color w:val="auto"/>
                <w:sz w:val="28"/>
                <w:szCs w:val="28"/>
                <w:lang w:val="en-US" w:eastAsia="zh-CN"/>
              </w:rPr>
              <w:t>6.49</w:t>
            </w:r>
          </w:p>
        </w:tc>
        <w:tc>
          <w:tcPr>
            <w:tcW w:w="15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EDCBB5">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cs="仿宋"/>
                <w:b w:val="0"/>
                <w:bCs/>
                <w:color w:val="auto"/>
                <w:sz w:val="28"/>
                <w:szCs w:val="28"/>
                <w:lang w:val="en-US" w:eastAsia="zh-CN"/>
              </w:rPr>
              <w:t>130.78</w:t>
            </w:r>
          </w:p>
        </w:tc>
        <w:tc>
          <w:tcPr>
            <w:tcW w:w="1245" w:type="dxa"/>
            <w:tcBorders>
              <w:top w:val="single" w:color="auto" w:sz="4" w:space="0"/>
              <w:left w:val="single" w:color="auto" w:sz="4" w:space="0"/>
              <w:bottom w:val="single" w:color="auto" w:sz="4" w:space="0"/>
              <w:right w:val="nil"/>
            </w:tcBorders>
            <w:shd w:val="clear" w:color="auto" w:fill="auto"/>
            <w:noWrap w:val="0"/>
            <w:vAlign w:val="center"/>
          </w:tcPr>
          <w:p w14:paraId="075CC5E8">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cs="仿宋"/>
                <w:b w:val="0"/>
                <w:bCs/>
                <w:color w:val="auto"/>
                <w:sz w:val="28"/>
                <w:szCs w:val="28"/>
                <w:lang w:val="en-US" w:eastAsia="zh-CN"/>
              </w:rPr>
              <w:t>130.78</w:t>
            </w:r>
          </w:p>
        </w:tc>
        <w:tc>
          <w:tcPr>
            <w:tcW w:w="1665" w:type="dxa"/>
            <w:shd w:val="clear" w:color="auto" w:fill="auto"/>
            <w:noWrap w:val="0"/>
            <w:vAlign w:val="center"/>
          </w:tcPr>
          <w:p w14:paraId="0F58508D">
            <w:pPr>
              <w:pStyle w:val="28"/>
              <w:pageBreakBefore w:val="0"/>
              <w:kinsoku/>
              <w:wordWrap/>
              <w:overflowPunct/>
              <w:topLinePunct w:val="0"/>
              <w:autoSpaceDE/>
              <w:autoSpaceDN/>
              <w:bidi w:val="0"/>
              <w:snapToGrid w:val="0"/>
              <w:spacing w:line="360" w:lineRule="auto"/>
              <w:ind w:firstLine="0" w:firstLineChars="0"/>
              <w:jc w:val="center"/>
              <w:rPr>
                <w:rFonts w:hint="eastAsia" w:ascii="仿宋" w:hAnsi="仿宋" w:eastAsia="仿宋" w:cs="仿宋"/>
                <w:b w:val="0"/>
                <w:bCs/>
                <w:color w:val="auto"/>
                <w:kern w:val="0"/>
                <w:sz w:val="28"/>
                <w:szCs w:val="28"/>
                <w:lang w:val="en-US" w:eastAsia="zh-CN" w:bidi="ar-SA"/>
              </w:rPr>
            </w:pPr>
            <w:r>
              <w:rPr>
                <w:rFonts w:hint="eastAsia" w:ascii="仿宋" w:hAnsi="仿宋" w:eastAsia="仿宋" w:cs="仿宋"/>
                <w:b w:val="0"/>
                <w:bCs/>
                <w:color w:val="auto"/>
                <w:sz w:val="28"/>
                <w:szCs w:val="28"/>
                <w:lang w:val="en-US" w:eastAsia="zh-CN"/>
              </w:rPr>
              <w:t>100</w:t>
            </w:r>
          </w:p>
        </w:tc>
      </w:tr>
    </w:tbl>
    <w:p w14:paraId="302DD2DF">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eastAsia" w:ascii="Times New Roman" w:hAnsi="Times New Roman" w:eastAsia="楷体_GB2312" w:cs="Times New Roman"/>
          <w:b/>
          <w:color w:val="auto"/>
          <w:spacing w:val="-20"/>
          <w:sz w:val="32"/>
          <w:szCs w:val="32"/>
          <w:lang w:val="zh-CN"/>
        </w:rPr>
      </w:pPr>
      <w:r>
        <w:rPr>
          <w:rFonts w:hint="eastAsia" w:ascii="Times New Roman" w:hAnsi="Times New Roman" w:eastAsia="楷体_GB2312" w:cs="Times New Roman"/>
          <w:b/>
          <w:color w:val="auto"/>
          <w:spacing w:val="-20"/>
          <w:sz w:val="32"/>
          <w:szCs w:val="32"/>
          <w:lang w:val="zh-CN"/>
        </w:rPr>
        <w:t>特定目标类项目目标完成表参考（主要体现数量指标完成情况）：</w:t>
      </w:r>
    </w:p>
    <w:tbl>
      <w:tblPr>
        <w:tblStyle w:val="17"/>
        <w:tblW w:w="0" w:type="auto"/>
        <w:tblInd w:w="113" w:type="dxa"/>
        <w:tblLayout w:type="fixed"/>
        <w:tblCellMar>
          <w:top w:w="0" w:type="dxa"/>
          <w:left w:w="108" w:type="dxa"/>
          <w:bottom w:w="0" w:type="dxa"/>
          <w:right w:w="108" w:type="dxa"/>
        </w:tblCellMar>
      </w:tblPr>
      <w:tblGrid>
        <w:gridCol w:w="1835"/>
        <w:gridCol w:w="1631"/>
        <w:gridCol w:w="1198"/>
        <w:gridCol w:w="1224"/>
        <w:gridCol w:w="1358"/>
        <w:gridCol w:w="1455"/>
      </w:tblGrid>
      <w:tr w14:paraId="1E430A82">
        <w:tblPrEx>
          <w:tblCellMar>
            <w:top w:w="0" w:type="dxa"/>
            <w:left w:w="108" w:type="dxa"/>
            <w:bottom w:w="0" w:type="dxa"/>
            <w:right w:w="108" w:type="dxa"/>
          </w:tblCellMar>
        </w:tblPrEx>
        <w:trPr>
          <w:trHeight w:val="485"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4F3A8D25">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color w:val="auto"/>
                <w:spacing w:val="-20"/>
                <w:sz w:val="28"/>
                <w:szCs w:val="28"/>
              </w:rPr>
            </w:pPr>
            <w:r>
              <w:rPr>
                <w:rFonts w:hint="eastAsia" w:ascii="Times New Roman" w:hAnsi="Times New Roman"/>
                <w:b/>
                <w:bCs/>
                <w:color w:val="auto"/>
                <w:spacing w:val="-20"/>
                <w:sz w:val="28"/>
                <w:szCs w:val="28"/>
              </w:rPr>
              <w:t>项目</w:t>
            </w:r>
          </w:p>
        </w:tc>
        <w:tc>
          <w:tcPr>
            <w:tcW w:w="1631" w:type="dxa"/>
            <w:tcBorders>
              <w:top w:val="single" w:color="auto" w:sz="4" w:space="0"/>
              <w:left w:val="nil"/>
              <w:bottom w:val="single" w:color="auto" w:sz="4" w:space="0"/>
              <w:right w:val="single" w:color="auto" w:sz="4" w:space="0"/>
            </w:tcBorders>
            <w:noWrap/>
            <w:vAlign w:val="center"/>
          </w:tcPr>
          <w:p w14:paraId="0AD27946">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color w:val="auto"/>
                <w:spacing w:val="-20"/>
                <w:sz w:val="28"/>
                <w:szCs w:val="28"/>
              </w:rPr>
            </w:pPr>
            <w:r>
              <w:rPr>
                <w:rFonts w:hint="eastAsia" w:ascii="Times New Roman" w:hAnsi="Times New Roman"/>
                <w:b/>
                <w:bCs/>
                <w:color w:val="auto"/>
                <w:spacing w:val="-20"/>
                <w:sz w:val="28"/>
                <w:szCs w:val="28"/>
              </w:rPr>
              <w:t>绩效目标</w:t>
            </w:r>
          </w:p>
        </w:tc>
        <w:tc>
          <w:tcPr>
            <w:tcW w:w="1198" w:type="dxa"/>
            <w:tcBorders>
              <w:top w:val="single" w:color="auto" w:sz="4" w:space="0"/>
              <w:left w:val="nil"/>
              <w:bottom w:val="single" w:color="auto" w:sz="4" w:space="0"/>
              <w:right w:val="single" w:color="auto" w:sz="4" w:space="0"/>
            </w:tcBorders>
            <w:noWrap/>
            <w:vAlign w:val="center"/>
          </w:tcPr>
          <w:p w14:paraId="46CF4776">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color w:val="auto"/>
                <w:spacing w:val="-20"/>
                <w:sz w:val="28"/>
                <w:szCs w:val="28"/>
              </w:rPr>
            </w:pPr>
            <w:r>
              <w:rPr>
                <w:rFonts w:hint="eastAsia" w:ascii="Times New Roman" w:hAnsi="Times New Roman"/>
                <w:b/>
                <w:bCs/>
                <w:color w:val="auto"/>
                <w:spacing w:val="-20"/>
                <w:sz w:val="28"/>
                <w:szCs w:val="28"/>
              </w:rPr>
              <w:t>数量指标</w:t>
            </w:r>
          </w:p>
        </w:tc>
        <w:tc>
          <w:tcPr>
            <w:tcW w:w="1224" w:type="dxa"/>
            <w:tcBorders>
              <w:top w:val="single" w:color="auto" w:sz="4" w:space="0"/>
              <w:left w:val="nil"/>
              <w:bottom w:val="single" w:color="auto" w:sz="4" w:space="0"/>
              <w:right w:val="single" w:color="auto" w:sz="4" w:space="0"/>
            </w:tcBorders>
            <w:noWrap/>
            <w:vAlign w:val="center"/>
          </w:tcPr>
          <w:p w14:paraId="163B69C8">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color w:val="auto"/>
                <w:spacing w:val="-20"/>
                <w:sz w:val="28"/>
                <w:szCs w:val="28"/>
              </w:rPr>
            </w:pPr>
            <w:r>
              <w:rPr>
                <w:rFonts w:hint="eastAsia" w:ascii="Times New Roman" w:hAnsi="Times New Roman"/>
                <w:b/>
                <w:bCs/>
                <w:color w:val="auto"/>
                <w:spacing w:val="-20"/>
                <w:sz w:val="28"/>
                <w:szCs w:val="28"/>
              </w:rPr>
              <w:t>目标值</w:t>
            </w:r>
          </w:p>
        </w:tc>
        <w:tc>
          <w:tcPr>
            <w:tcW w:w="1358" w:type="dxa"/>
            <w:tcBorders>
              <w:top w:val="single" w:color="auto" w:sz="4" w:space="0"/>
              <w:left w:val="nil"/>
              <w:bottom w:val="single" w:color="auto" w:sz="4" w:space="0"/>
              <w:right w:val="single" w:color="auto" w:sz="4" w:space="0"/>
            </w:tcBorders>
            <w:noWrap/>
            <w:vAlign w:val="center"/>
          </w:tcPr>
          <w:p w14:paraId="044D75E0">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color w:val="auto"/>
                <w:spacing w:val="-20"/>
                <w:sz w:val="28"/>
                <w:szCs w:val="28"/>
              </w:rPr>
            </w:pPr>
            <w:r>
              <w:rPr>
                <w:rFonts w:hint="eastAsia" w:ascii="Times New Roman" w:hAnsi="Times New Roman"/>
                <w:b/>
                <w:bCs/>
                <w:color w:val="auto"/>
                <w:spacing w:val="-20"/>
                <w:sz w:val="28"/>
                <w:szCs w:val="28"/>
              </w:rPr>
              <w:t>完成值</w:t>
            </w:r>
          </w:p>
        </w:tc>
        <w:tc>
          <w:tcPr>
            <w:tcW w:w="1455" w:type="dxa"/>
            <w:tcBorders>
              <w:top w:val="single" w:color="auto" w:sz="4" w:space="0"/>
              <w:left w:val="nil"/>
              <w:bottom w:val="single" w:color="auto" w:sz="4" w:space="0"/>
              <w:right w:val="single" w:color="auto" w:sz="4" w:space="0"/>
            </w:tcBorders>
            <w:noWrap/>
            <w:vAlign w:val="center"/>
          </w:tcPr>
          <w:p w14:paraId="6E65ED30">
            <w:pPr>
              <w:pStyle w:val="28"/>
              <w:pageBreakBefore w:val="0"/>
              <w:kinsoku/>
              <w:wordWrap/>
              <w:overflowPunct/>
              <w:topLinePunct w:val="0"/>
              <w:autoSpaceDE/>
              <w:autoSpaceDN/>
              <w:bidi w:val="0"/>
              <w:snapToGrid w:val="0"/>
              <w:spacing w:line="360" w:lineRule="auto"/>
              <w:jc w:val="center"/>
              <w:rPr>
                <w:rFonts w:hint="eastAsia" w:ascii="Times New Roman" w:hAnsi="Times New Roman"/>
                <w:b/>
                <w:bCs/>
                <w:color w:val="auto"/>
                <w:spacing w:val="-20"/>
                <w:sz w:val="28"/>
                <w:szCs w:val="28"/>
              </w:rPr>
            </w:pPr>
            <w:r>
              <w:rPr>
                <w:rFonts w:hint="eastAsia" w:ascii="Times New Roman" w:hAnsi="Times New Roman"/>
                <w:b/>
                <w:bCs/>
                <w:color w:val="auto"/>
                <w:spacing w:val="-20"/>
                <w:sz w:val="28"/>
                <w:szCs w:val="28"/>
              </w:rPr>
              <w:t>完成率</w:t>
            </w:r>
          </w:p>
        </w:tc>
      </w:tr>
      <w:tr w14:paraId="2F26673A">
        <w:tblPrEx>
          <w:tblCellMar>
            <w:top w:w="0" w:type="dxa"/>
            <w:left w:w="108" w:type="dxa"/>
            <w:bottom w:w="0" w:type="dxa"/>
            <w:right w:w="108" w:type="dxa"/>
          </w:tblCellMar>
        </w:tblPrEx>
        <w:trPr>
          <w:trHeight w:val="831"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3A78217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现代职业教育质量提升计划资金</w:t>
            </w:r>
          </w:p>
        </w:tc>
        <w:tc>
          <w:tcPr>
            <w:tcW w:w="1631" w:type="dxa"/>
            <w:tcBorders>
              <w:top w:val="nil"/>
              <w:left w:val="nil"/>
              <w:bottom w:val="single" w:color="auto" w:sz="4" w:space="0"/>
              <w:right w:val="single" w:color="auto" w:sz="4" w:space="0"/>
            </w:tcBorders>
            <w:noWrap/>
            <w:vAlign w:val="center"/>
          </w:tcPr>
          <w:p w14:paraId="74B5DF5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改善办学条件</w:t>
            </w:r>
          </w:p>
        </w:tc>
        <w:tc>
          <w:tcPr>
            <w:tcW w:w="1198" w:type="dxa"/>
            <w:tcBorders>
              <w:top w:val="nil"/>
              <w:left w:val="nil"/>
              <w:bottom w:val="single" w:color="auto" w:sz="4" w:space="0"/>
              <w:right w:val="single" w:color="auto" w:sz="4" w:space="0"/>
            </w:tcBorders>
            <w:noWrap/>
            <w:vAlign w:val="center"/>
          </w:tcPr>
          <w:p w14:paraId="34FC431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nil"/>
              <w:left w:val="nil"/>
              <w:bottom w:val="single" w:color="auto" w:sz="4" w:space="0"/>
              <w:right w:val="single" w:color="auto" w:sz="4" w:space="0"/>
            </w:tcBorders>
            <w:noWrap/>
            <w:vAlign w:val="center"/>
          </w:tcPr>
          <w:p w14:paraId="04741C6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2704.46</w:t>
            </w:r>
          </w:p>
        </w:tc>
        <w:tc>
          <w:tcPr>
            <w:tcW w:w="1358" w:type="dxa"/>
            <w:tcBorders>
              <w:top w:val="nil"/>
              <w:left w:val="nil"/>
              <w:bottom w:val="single" w:color="auto" w:sz="4" w:space="0"/>
              <w:right w:val="single" w:color="auto" w:sz="4" w:space="0"/>
            </w:tcBorders>
            <w:noWrap/>
            <w:vAlign w:val="center"/>
          </w:tcPr>
          <w:p w14:paraId="0E110A8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2212.13</w:t>
            </w:r>
          </w:p>
        </w:tc>
        <w:tc>
          <w:tcPr>
            <w:tcW w:w="1455" w:type="dxa"/>
            <w:tcBorders>
              <w:top w:val="nil"/>
              <w:left w:val="nil"/>
              <w:bottom w:val="single" w:color="auto" w:sz="4" w:space="0"/>
              <w:right w:val="single" w:color="auto" w:sz="4" w:space="0"/>
            </w:tcBorders>
            <w:noWrap/>
            <w:vAlign w:val="center"/>
          </w:tcPr>
          <w:p w14:paraId="24378F8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81.80%</w:t>
            </w:r>
          </w:p>
        </w:tc>
      </w:tr>
      <w:tr w14:paraId="4EF19DE0">
        <w:tblPrEx>
          <w:tblCellMar>
            <w:top w:w="0" w:type="dxa"/>
            <w:left w:w="108" w:type="dxa"/>
            <w:bottom w:w="0" w:type="dxa"/>
            <w:right w:w="108" w:type="dxa"/>
          </w:tblCellMar>
        </w:tblPrEx>
        <w:trPr>
          <w:trHeight w:val="1089"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7D880A4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支持中等职业教育发展资金</w:t>
            </w:r>
          </w:p>
        </w:tc>
        <w:tc>
          <w:tcPr>
            <w:tcW w:w="1631" w:type="dxa"/>
            <w:tcBorders>
              <w:top w:val="single" w:color="auto" w:sz="4" w:space="0"/>
              <w:left w:val="nil"/>
              <w:bottom w:val="single" w:color="auto" w:sz="4" w:space="0"/>
              <w:right w:val="single" w:color="auto" w:sz="4" w:space="0"/>
            </w:tcBorders>
            <w:noWrap/>
            <w:vAlign w:val="center"/>
          </w:tcPr>
          <w:p w14:paraId="20D8F0E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提高教学质量</w:t>
            </w:r>
          </w:p>
        </w:tc>
        <w:tc>
          <w:tcPr>
            <w:tcW w:w="1198" w:type="dxa"/>
            <w:tcBorders>
              <w:top w:val="single" w:color="auto" w:sz="4" w:space="0"/>
              <w:left w:val="nil"/>
              <w:bottom w:val="single" w:color="auto" w:sz="4" w:space="0"/>
              <w:right w:val="single" w:color="auto" w:sz="4" w:space="0"/>
            </w:tcBorders>
            <w:noWrap/>
            <w:vAlign w:val="center"/>
          </w:tcPr>
          <w:p w14:paraId="49932DA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2EA2A37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1641.86</w:t>
            </w:r>
          </w:p>
        </w:tc>
        <w:tc>
          <w:tcPr>
            <w:tcW w:w="1358" w:type="dxa"/>
            <w:tcBorders>
              <w:top w:val="single" w:color="auto" w:sz="4" w:space="0"/>
              <w:left w:val="nil"/>
              <w:bottom w:val="single" w:color="auto" w:sz="4" w:space="0"/>
              <w:right w:val="single" w:color="auto" w:sz="4" w:space="0"/>
            </w:tcBorders>
            <w:noWrap/>
            <w:vAlign w:val="center"/>
          </w:tcPr>
          <w:p w14:paraId="01EDA53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66.86</w:t>
            </w:r>
          </w:p>
        </w:tc>
        <w:tc>
          <w:tcPr>
            <w:tcW w:w="1455" w:type="dxa"/>
            <w:tcBorders>
              <w:top w:val="single" w:color="auto" w:sz="4" w:space="0"/>
              <w:left w:val="nil"/>
              <w:bottom w:val="single" w:color="auto" w:sz="4" w:space="0"/>
              <w:right w:val="single" w:color="auto" w:sz="4" w:space="0"/>
            </w:tcBorders>
            <w:noWrap/>
            <w:vAlign w:val="center"/>
          </w:tcPr>
          <w:p w14:paraId="1C264DB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4.07%</w:t>
            </w:r>
          </w:p>
        </w:tc>
      </w:tr>
      <w:tr w14:paraId="423E8AFE">
        <w:tblPrEx>
          <w:tblCellMar>
            <w:top w:w="0" w:type="dxa"/>
            <w:left w:w="108" w:type="dxa"/>
            <w:bottom w:w="0" w:type="dxa"/>
            <w:right w:w="108" w:type="dxa"/>
          </w:tblCellMar>
        </w:tblPrEx>
        <w:trPr>
          <w:trHeight w:val="711"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12A53BC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学生资助专项资金</w:t>
            </w:r>
          </w:p>
        </w:tc>
        <w:tc>
          <w:tcPr>
            <w:tcW w:w="1631" w:type="dxa"/>
            <w:tcBorders>
              <w:top w:val="single" w:color="auto" w:sz="4" w:space="0"/>
              <w:left w:val="nil"/>
              <w:bottom w:val="single" w:color="auto" w:sz="4" w:space="0"/>
              <w:right w:val="single" w:color="auto" w:sz="4" w:space="0"/>
            </w:tcBorders>
            <w:noWrap/>
            <w:vAlign w:val="center"/>
          </w:tcPr>
          <w:p w14:paraId="73B6F77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提高教学质量</w:t>
            </w:r>
          </w:p>
        </w:tc>
        <w:tc>
          <w:tcPr>
            <w:tcW w:w="1198" w:type="dxa"/>
            <w:tcBorders>
              <w:top w:val="single" w:color="auto" w:sz="4" w:space="0"/>
              <w:left w:val="nil"/>
              <w:bottom w:val="single" w:color="auto" w:sz="4" w:space="0"/>
              <w:right w:val="single" w:color="auto" w:sz="4" w:space="0"/>
            </w:tcBorders>
            <w:noWrap/>
            <w:vAlign w:val="center"/>
          </w:tcPr>
          <w:p w14:paraId="43AD69D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5636DD8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87.93</w:t>
            </w:r>
          </w:p>
        </w:tc>
        <w:tc>
          <w:tcPr>
            <w:tcW w:w="1358" w:type="dxa"/>
            <w:tcBorders>
              <w:top w:val="single" w:color="auto" w:sz="4" w:space="0"/>
              <w:left w:val="nil"/>
              <w:bottom w:val="single" w:color="auto" w:sz="4" w:space="0"/>
              <w:right w:val="single" w:color="auto" w:sz="4" w:space="0"/>
            </w:tcBorders>
            <w:noWrap/>
            <w:vAlign w:val="center"/>
          </w:tcPr>
          <w:p w14:paraId="6EA8A52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87.93</w:t>
            </w:r>
          </w:p>
        </w:tc>
        <w:tc>
          <w:tcPr>
            <w:tcW w:w="1455" w:type="dxa"/>
            <w:tcBorders>
              <w:top w:val="single" w:color="auto" w:sz="4" w:space="0"/>
              <w:left w:val="nil"/>
              <w:bottom w:val="single" w:color="auto" w:sz="4" w:space="0"/>
              <w:right w:val="single" w:color="auto" w:sz="4" w:space="0"/>
            </w:tcBorders>
            <w:noWrap/>
            <w:vAlign w:val="center"/>
          </w:tcPr>
          <w:p w14:paraId="7BC156A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100%</w:t>
            </w:r>
          </w:p>
        </w:tc>
      </w:tr>
      <w:tr w14:paraId="66540657">
        <w:tblPrEx>
          <w:tblCellMar>
            <w:top w:w="0" w:type="dxa"/>
            <w:left w:w="108" w:type="dxa"/>
            <w:bottom w:w="0" w:type="dxa"/>
            <w:right w:w="108" w:type="dxa"/>
          </w:tblCellMar>
        </w:tblPrEx>
        <w:trPr>
          <w:trHeight w:val="959"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6D1D2E3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教育发展专项资金</w:t>
            </w:r>
          </w:p>
        </w:tc>
        <w:tc>
          <w:tcPr>
            <w:tcW w:w="1631" w:type="dxa"/>
            <w:tcBorders>
              <w:top w:val="single" w:color="auto" w:sz="4" w:space="0"/>
              <w:left w:val="nil"/>
              <w:bottom w:val="single" w:color="auto" w:sz="4" w:space="0"/>
              <w:right w:val="single" w:color="auto" w:sz="4" w:space="0"/>
            </w:tcBorders>
            <w:noWrap/>
            <w:vAlign w:val="center"/>
          </w:tcPr>
          <w:p w14:paraId="2218AA87">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改善办学条件，提高教学质量资金</w:t>
            </w:r>
          </w:p>
        </w:tc>
        <w:tc>
          <w:tcPr>
            <w:tcW w:w="1198" w:type="dxa"/>
            <w:tcBorders>
              <w:top w:val="single" w:color="auto" w:sz="4" w:space="0"/>
              <w:left w:val="nil"/>
              <w:bottom w:val="single" w:color="auto" w:sz="4" w:space="0"/>
              <w:right w:val="single" w:color="auto" w:sz="4" w:space="0"/>
            </w:tcBorders>
            <w:noWrap/>
            <w:vAlign w:val="center"/>
          </w:tcPr>
          <w:p w14:paraId="0B494E7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352E260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426.13</w:t>
            </w:r>
          </w:p>
        </w:tc>
        <w:tc>
          <w:tcPr>
            <w:tcW w:w="1358" w:type="dxa"/>
            <w:tcBorders>
              <w:top w:val="single" w:color="auto" w:sz="4" w:space="0"/>
              <w:left w:val="nil"/>
              <w:bottom w:val="single" w:color="auto" w:sz="4" w:space="0"/>
              <w:right w:val="single" w:color="auto" w:sz="4" w:space="0"/>
            </w:tcBorders>
            <w:noWrap/>
            <w:vAlign w:val="center"/>
          </w:tcPr>
          <w:p w14:paraId="75BA2FC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426.13</w:t>
            </w:r>
          </w:p>
        </w:tc>
        <w:tc>
          <w:tcPr>
            <w:tcW w:w="1455" w:type="dxa"/>
            <w:tcBorders>
              <w:top w:val="single" w:color="auto" w:sz="4" w:space="0"/>
              <w:left w:val="nil"/>
              <w:bottom w:val="single" w:color="auto" w:sz="4" w:space="0"/>
              <w:right w:val="single" w:color="auto" w:sz="4" w:space="0"/>
            </w:tcBorders>
            <w:noWrap/>
            <w:vAlign w:val="center"/>
          </w:tcPr>
          <w:p w14:paraId="4247047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100%</w:t>
            </w:r>
          </w:p>
        </w:tc>
      </w:tr>
      <w:tr w14:paraId="351BBC72">
        <w:tblPrEx>
          <w:tblCellMar>
            <w:top w:w="0" w:type="dxa"/>
            <w:left w:w="108" w:type="dxa"/>
            <w:bottom w:w="0" w:type="dxa"/>
            <w:right w:w="108" w:type="dxa"/>
          </w:tblCellMar>
        </w:tblPrEx>
        <w:trPr>
          <w:trHeight w:val="280"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139667D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学生资助补助经费</w:t>
            </w:r>
          </w:p>
        </w:tc>
        <w:tc>
          <w:tcPr>
            <w:tcW w:w="1631" w:type="dxa"/>
            <w:tcBorders>
              <w:top w:val="single" w:color="auto" w:sz="4" w:space="0"/>
              <w:left w:val="nil"/>
              <w:bottom w:val="single" w:color="auto" w:sz="4" w:space="0"/>
              <w:right w:val="single" w:color="auto" w:sz="4" w:space="0"/>
            </w:tcBorders>
            <w:noWrap/>
            <w:vAlign w:val="center"/>
          </w:tcPr>
          <w:p w14:paraId="4046ED7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提高全民素质</w:t>
            </w:r>
          </w:p>
        </w:tc>
        <w:tc>
          <w:tcPr>
            <w:tcW w:w="1198" w:type="dxa"/>
            <w:tcBorders>
              <w:top w:val="single" w:color="auto" w:sz="4" w:space="0"/>
              <w:left w:val="nil"/>
              <w:bottom w:val="single" w:color="auto" w:sz="4" w:space="0"/>
              <w:right w:val="single" w:color="auto" w:sz="4" w:space="0"/>
            </w:tcBorders>
            <w:noWrap/>
            <w:vAlign w:val="center"/>
          </w:tcPr>
          <w:p w14:paraId="0120606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02A96CFD">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741.88</w:t>
            </w:r>
          </w:p>
        </w:tc>
        <w:tc>
          <w:tcPr>
            <w:tcW w:w="1358" w:type="dxa"/>
            <w:tcBorders>
              <w:top w:val="single" w:color="auto" w:sz="4" w:space="0"/>
              <w:left w:val="nil"/>
              <w:bottom w:val="single" w:color="auto" w:sz="4" w:space="0"/>
              <w:right w:val="single" w:color="auto" w:sz="4" w:space="0"/>
            </w:tcBorders>
            <w:noWrap/>
            <w:vAlign w:val="center"/>
          </w:tcPr>
          <w:p w14:paraId="155E5A2E">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741.88</w:t>
            </w:r>
          </w:p>
        </w:tc>
        <w:tc>
          <w:tcPr>
            <w:tcW w:w="1455" w:type="dxa"/>
            <w:tcBorders>
              <w:top w:val="single" w:color="auto" w:sz="4" w:space="0"/>
              <w:left w:val="nil"/>
              <w:bottom w:val="single" w:color="auto" w:sz="4" w:space="0"/>
              <w:right w:val="single" w:color="auto" w:sz="4" w:space="0"/>
            </w:tcBorders>
            <w:noWrap/>
            <w:vAlign w:val="center"/>
          </w:tcPr>
          <w:p w14:paraId="1935C8A5">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100%</w:t>
            </w:r>
          </w:p>
        </w:tc>
      </w:tr>
      <w:tr w14:paraId="74D150D7">
        <w:tblPrEx>
          <w:tblCellMar>
            <w:top w:w="0" w:type="dxa"/>
            <w:left w:w="108" w:type="dxa"/>
            <w:bottom w:w="0" w:type="dxa"/>
            <w:right w:w="108" w:type="dxa"/>
          </w:tblCellMar>
        </w:tblPrEx>
        <w:trPr>
          <w:trHeight w:val="280"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76C5323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公共卫生特别服务岗省级补助资金</w:t>
            </w:r>
          </w:p>
        </w:tc>
        <w:tc>
          <w:tcPr>
            <w:tcW w:w="1631" w:type="dxa"/>
            <w:tcBorders>
              <w:top w:val="single" w:color="auto" w:sz="4" w:space="0"/>
              <w:left w:val="nil"/>
              <w:bottom w:val="single" w:color="auto" w:sz="4" w:space="0"/>
              <w:right w:val="single" w:color="auto" w:sz="4" w:space="0"/>
            </w:tcBorders>
            <w:noWrap/>
            <w:vAlign w:val="center"/>
          </w:tcPr>
          <w:p w14:paraId="0E57B78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提高公共卫生服务质量</w:t>
            </w:r>
          </w:p>
        </w:tc>
        <w:tc>
          <w:tcPr>
            <w:tcW w:w="1198" w:type="dxa"/>
            <w:tcBorders>
              <w:top w:val="single" w:color="auto" w:sz="4" w:space="0"/>
              <w:left w:val="nil"/>
              <w:bottom w:val="single" w:color="auto" w:sz="4" w:space="0"/>
              <w:right w:val="single" w:color="auto" w:sz="4" w:space="0"/>
            </w:tcBorders>
            <w:noWrap/>
            <w:vAlign w:val="center"/>
          </w:tcPr>
          <w:p w14:paraId="4F21D13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0B45B696">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5.36</w:t>
            </w:r>
          </w:p>
        </w:tc>
        <w:tc>
          <w:tcPr>
            <w:tcW w:w="1358" w:type="dxa"/>
            <w:tcBorders>
              <w:top w:val="single" w:color="auto" w:sz="4" w:space="0"/>
              <w:left w:val="nil"/>
              <w:bottom w:val="single" w:color="auto" w:sz="4" w:space="0"/>
              <w:right w:val="single" w:color="auto" w:sz="4" w:space="0"/>
            </w:tcBorders>
            <w:noWrap/>
            <w:vAlign w:val="center"/>
          </w:tcPr>
          <w:p w14:paraId="53233020">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5.36</w:t>
            </w:r>
          </w:p>
        </w:tc>
        <w:tc>
          <w:tcPr>
            <w:tcW w:w="1455" w:type="dxa"/>
            <w:tcBorders>
              <w:top w:val="single" w:color="auto" w:sz="4" w:space="0"/>
              <w:left w:val="nil"/>
              <w:bottom w:val="single" w:color="auto" w:sz="4" w:space="0"/>
              <w:right w:val="single" w:color="auto" w:sz="4" w:space="0"/>
            </w:tcBorders>
            <w:noWrap/>
            <w:vAlign w:val="center"/>
          </w:tcPr>
          <w:p w14:paraId="1DFF8799">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100%</w:t>
            </w:r>
          </w:p>
        </w:tc>
      </w:tr>
      <w:tr w14:paraId="5C92BDD0">
        <w:tblPrEx>
          <w:tblCellMar>
            <w:top w:w="0" w:type="dxa"/>
            <w:left w:w="108" w:type="dxa"/>
            <w:bottom w:w="0" w:type="dxa"/>
            <w:right w:w="108" w:type="dxa"/>
          </w:tblCellMar>
        </w:tblPrEx>
        <w:trPr>
          <w:trHeight w:val="516"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5A9FF07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eastAsia="仿宋" w:cs="宋体"/>
                <w:bCs/>
                <w:color w:val="auto"/>
                <w:kern w:val="0"/>
                <w:sz w:val="28"/>
                <w:szCs w:val="28"/>
                <w:lang w:val="en-US" w:eastAsia="zh-CN" w:bidi="ar-SA"/>
              </w:rPr>
              <w:t>扶持青少年校园足球发展专项资金</w:t>
            </w:r>
          </w:p>
        </w:tc>
        <w:tc>
          <w:tcPr>
            <w:tcW w:w="1631" w:type="dxa"/>
            <w:tcBorders>
              <w:top w:val="single" w:color="auto" w:sz="4" w:space="0"/>
              <w:left w:val="nil"/>
              <w:bottom w:val="single" w:color="auto" w:sz="4" w:space="0"/>
              <w:right w:val="single" w:color="auto" w:sz="4" w:space="0"/>
            </w:tcBorders>
            <w:noWrap/>
            <w:vAlign w:val="center"/>
          </w:tcPr>
          <w:p w14:paraId="0486FA6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eastAsia="仿宋" w:cs="宋体"/>
                <w:bCs/>
                <w:color w:val="auto"/>
                <w:kern w:val="0"/>
                <w:sz w:val="28"/>
                <w:szCs w:val="28"/>
                <w:lang w:val="en-US" w:eastAsia="zh-CN" w:bidi="ar-SA"/>
              </w:rPr>
              <w:t>促进体育事业发展</w:t>
            </w:r>
          </w:p>
        </w:tc>
        <w:tc>
          <w:tcPr>
            <w:tcW w:w="1198" w:type="dxa"/>
            <w:tcBorders>
              <w:top w:val="single" w:color="auto" w:sz="4" w:space="0"/>
              <w:left w:val="nil"/>
              <w:bottom w:val="single" w:color="auto" w:sz="4" w:space="0"/>
              <w:right w:val="single" w:color="auto" w:sz="4" w:space="0"/>
            </w:tcBorders>
            <w:noWrap/>
            <w:vAlign w:val="center"/>
          </w:tcPr>
          <w:p w14:paraId="54FB541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491DB265">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1.00</w:t>
            </w:r>
          </w:p>
        </w:tc>
        <w:tc>
          <w:tcPr>
            <w:tcW w:w="1358" w:type="dxa"/>
            <w:tcBorders>
              <w:top w:val="single" w:color="auto" w:sz="4" w:space="0"/>
              <w:left w:val="nil"/>
              <w:bottom w:val="single" w:color="auto" w:sz="4" w:space="0"/>
              <w:right w:val="single" w:color="auto" w:sz="4" w:space="0"/>
            </w:tcBorders>
            <w:noWrap/>
            <w:vAlign w:val="center"/>
          </w:tcPr>
          <w:p w14:paraId="164B367C">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1.00</w:t>
            </w:r>
          </w:p>
        </w:tc>
        <w:tc>
          <w:tcPr>
            <w:tcW w:w="1455" w:type="dxa"/>
            <w:tcBorders>
              <w:top w:val="single" w:color="auto" w:sz="4" w:space="0"/>
              <w:left w:val="nil"/>
              <w:bottom w:val="single" w:color="auto" w:sz="4" w:space="0"/>
              <w:right w:val="single" w:color="auto" w:sz="4" w:space="0"/>
            </w:tcBorders>
            <w:noWrap/>
            <w:vAlign w:val="center"/>
          </w:tcPr>
          <w:p w14:paraId="40FA8888">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100%</w:t>
            </w:r>
          </w:p>
        </w:tc>
      </w:tr>
      <w:tr w14:paraId="7D49A1D1">
        <w:tblPrEx>
          <w:tblCellMar>
            <w:top w:w="0" w:type="dxa"/>
            <w:left w:w="108" w:type="dxa"/>
            <w:bottom w:w="0" w:type="dxa"/>
            <w:right w:w="108" w:type="dxa"/>
          </w:tblCellMar>
        </w:tblPrEx>
        <w:trPr>
          <w:trHeight w:val="516"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6A34610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eastAsia="仿宋" w:cs="宋体"/>
                <w:bCs/>
                <w:color w:val="auto"/>
                <w:kern w:val="0"/>
                <w:sz w:val="28"/>
                <w:szCs w:val="28"/>
                <w:lang w:val="en-US" w:eastAsia="zh-CN" w:bidi="ar-SA"/>
              </w:rPr>
            </w:pPr>
            <w:r>
              <w:rPr>
                <w:rFonts w:hint="eastAsia" w:eastAsia="仿宋" w:cs="宋体"/>
                <w:bCs/>
                <w:color w:val="auto"/>
                <w:kern w:val="0"/>
                <w:sz w:val="28"/>
                <w:szCs w:val="28"/>
                <w:lang w:val="en-US" w:eastAsia="zh-CN" w:bidi="ar-SA"/>
              </w:rPr>
              <w:t>省级教师培训计划资金</w:t>
            </w:r>
          </w:p>
        </w:tc>
        <w:tc>
          <w:tcPr>
            <w:tcW w:w="1631" w:type="dxa"/>
            <w:tcBorders>
              <w:top w:val="single" w:color="auto" w:sz="4" w:space="0"/>
              <w:left w:val="nil"/>
              <w:bottom w:val="single" w:color="auto" w:sz="4" w:space="0"/>
              <w:right w:val="single" w:color="auto" w:sz="4" w:space="0"/>
            </w:tcBorders>
            <w:noWrap/>
            <w:vAlign w:val="center"/>
          </w:tcPr>
          <w:p w14:paraId="7FC96B4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eastAsia="仿宋" w:cs="宋体"/>
                <w:bCs/>
                <w:color w:val="auto"/>
                <w:kern w:val="0"/>
                <w:sz w:val="28"/>
                <w:szCs w:val="28"/>
                <w:lang w:val="en-US" w:eastAsia="zh-CN" w:bidi="ar-SA"/>
              </w:rPr>
            </w:pPr>
            <w:r>
              <w:rPr>
                <w:rFonts w:hint="eastAsia" w:eastAsia="仿宋" w:cs="宋体"/>
                <w:bCs/>
                <w:color w:val="auto"/>
                <w:kern w:val="0"/>
                <w:sz w:val="28"/>
                <w:szCs w:val="28"/>
                <w:lang w:val="en-US" w:eastAsia="zh-CN" w:bidi="ar-SA"/>
              </w:rPr>
              <w:t>提升教育质量</w:t>
            </w:r>
          </w:p>
        </w:tc>
        <w:tc>
          <w:tcPr>
            <w:tcW w:w="1198" w:type="dxa"/>
            <w:tcBorders>
              <w:top w:val="single" w:color="auto" w:sz="4" w:space="0"/>
              <w:left w:val="nil"/>
              <w:bottom w:val="single" w:color="auto" w:sz="4" w:space="0"/>
              <w:right w:val="single" w:color="auto" w:sz="4" w:space="0"/>
            </w:tcBorders>
            <w:noWrap/>
            <w:vAlign w:val="center"/>
          </w:tcPr>
          <w:p w14:paraId="0A1A028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3AF2F880">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4.00</w:t>
            </w:r>
          </w:p>
        </w:tc>
        <w:tc>
          <w:tcPr>
            <w:tcW w:w="1358" w:type="dxa"/>
            <w:tcBorders>
              <w:top w:val="single" w:color="auto" w:sz="4" w:space="0"/>
              <w:left w:val="nil"/>
              <w:bottom w:val="single" w:color="auto" w:sz="4" w:space="0"/>
              <w:right w:val="single" w:color="auto" w:sz="4" w:space="0"/>
            </w:tcBorders>
            <w:noWrap/>
            <w:vAlign w:val="center"/>
          </w:tcPr>
          <w:p w14:paraId="5C74C962">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0</w:t>
            </w:r>
          </w:p>
        </w:tc>
        <w:tc>
          <w:tcPr>
            <w:tcW w:w="1455" w:type="dxa"/>
            <w:tcBorders>
              <w:top w:val="single" w:color="auto" w:sz="4" w:space="0"/>
              <w:left w:val="nil"/>
              <w:bottom w:val="single" w:color="auto" w:sz="4" w:space="0"/>
              <w:right w:val="single" w:color="auto" w:sz="4" w:space="0"/>
            </w:tcBorders>
            <w:noWrap/>
            <w:vAlign w:val="center"/>
          </w:tcPr>
          <w:p w14:paraId="60D68403">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0%</w:t>
            </w:r>
          </w:p>
        </w:tc>
      </w:tr>
      <w:tr w14:paraId="0BCECA96">
        <w:tblPrEx>
          <w:tblCellMar>
            <w:top w:w="0" w:type="dxa"/>
            <w:left w:w="108" w:type="dxa"/>
            <w:bottom w:w="0" w:type="dxa"/>
            <w:right w:w="108" w:type="dxa"/>
          </w:tblCellMar>
        </w:tblPrEx>
        <w:trPr>
          <w:trHeight w:val="516"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5219A82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eastAsia="仿宋" w:cs="宋体"/>
                <w:bCs/>
                <w:color w:val="auto"/>
                <w:kern w:val="0"/>
                <w:sz w:val="28"/>
                <w:szCs w:val="28"/>
                <w:lang w:val="en-US" w:eastAsia="zh-CN" w:bidi="ar-SA"/>
              </w:rPr>
            </w:pPr>
          </w:p>
          <w:p w14:paraId="37CF1A8A">
            <w:pPr>
              <w:pStyle w:val="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lang w:val="en-US" w:eastAsia="zh-CN"/>
              </w:rPr>
            </w:pPr>
            <w:r>
              <w:rPr>
                <w:rFonts w:hint="eastAsia" w:eastAsia="仿宋" w:cs="宋体"/>
                <w:bCs/>
                <w:color w:val="auto"/>
                <w:kern w:val="0"/>
                <w:sz w:val="28"/>
                <w:szCs w:val="28"/>
                <w:lang w:val="en-US" w:eastAsia="zh-CN" w:bidi="ar-SA"/>
              </w:rPr>
              <w:t>第一批川渝青年人才培养计划资金</w:t>
            </w:r>
          </w:p>
        </w:tc>
        <w:tc>
          <w:tcPr>
            <w:tcW w:w="1631" w:type="dxa"/>
            <w:tcBorders>
              <w:top w:val="single" w:color="auto" w:sz="4" w:space="0"/>
              <w:left w:val="nil"/>
              <w:bottom w:val="single" w:color="auto" w:sz="4" w:space="0"/>
              <w:right w:val="single" w:color="auto" w:sz="4" w:space="0"/>
            </w:tcBorders>
            <w:noWrap/>
            <w:vAlign w:val="center"/>
          </w:tcPr>
          <w:p w14:paraId="1601FD1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eastAsia="仿宋" w:cs="宋体"/>
                <w:bCs/>
                <w:color w:val="auto"/>
                <w:kern w:val="0"/>
                <w:sz w:val="28"/>
                <w:szCs w:val="28"/>
                <w:lang w:val="en-US" w:eastAsia="zh-CN" w:bidi="ar-SA"/>
              </w:rPr>
            </w:pPr>
            <w:r>
              <w:rPr>
                <w:rFonts w:hint="eastAsia" w:eastAsia="仿宋" w:cs="宋体"/>
                <w:bCs/>
                <w:color w:val="auto"/>
                <w:kern w:val="0"/>
                <w:sz w:val="28"/>
                <w:szCs w:val="28"/>
                <w:lang w:val="en-US" w:eastAsia="zh-CN" w:bidi="ar-SA"/>
              </w:rPr>
              <w:t>提升教育质量</w:t>
            </w:r>
          </w:p>
        </w:tc>
        <w:tc>
          <w:tcPr>
            <w:tcW w:w="1198" w:type="dxa"/>
            <w:tcBorders>
              <w:top w:val="single" w:color="auto" w:sz="4" w:space="0"/>
              <w:left w:val="nil"/>
              <w:bottom w:val="single" w:color="auto" w:sz="4" w:space="0"/>
              <w:right w:val="single" w:color="auto" w:sz="4" w:space="0"/>
            </w:tcBorders>
            <w:noWrap/>
            <w:vAlign w:val="center"/>
          </w:tcPr>
          <w:p w14:paraId="1A343F3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r>
              <w:rPr>
                <w:rFonts w:hint="eastAsia" w:ascii="Times New Roman" w:hAnsi="Times New Roman" w:eastAsia="仿宋" w:cs="宋体"/>
                <w:bCs/>
                <w:color w:val="auto"/>
                <w:spacing w:val="-20"/>
                <w:kern w:val="0"/>
                <w:sz w:val="28"/>
                <w:szCs w:val="28"/>
                <w:lang w:val="zh-CN" w:eastAsia="zh-CN" w:bidi="ar-SA"/>
              </w:rPr>
              <w:t>资金使用额</w:t>
            </w:r>
          </w:p>
        </w:tc>
        <w:tc>
          <w:tcPr>
            <w:tcW w:w="1224" w:type="dxa"/>
            <w:tcBorders>
              <w:top w:val="single" w:color="auto" w:sz="4" w:space="0"/>
              <w:left w:val="nil"/>
              <w:bottom w:val="single" w:color="auto" w:sz="4" w:space="0"/>
              <w:right w:val="single" w:color="auto" w:sz="4" w:space="0"/>
            </w:tcBorders>
            <w:noWrap/>
            <w:vAlign w:val="center"/>
          </w:tcPr>
          <w:p w14:paraId="349FD234">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2.00</w:t>
            </w:r>
          </w:p>
        </w:tc>
        <w:tc>
          <w:tcPr>
            <w:tcW w:w="1358" w:type="dxa"/>
            <w:tcBorders>
              <w:top w:val="single" w:color="auto" w:sz="4" w:space="0"/>
              <w:left w:val="nil"/>
              <w:bottom w:val="single" w:color="auto" w:sz="4" w:space="0"/>
              <w:right w:val="single" w:color="auto" w:sz="4" w:space="0"/>
            </w:tcBorders>
            <w:noWrap/>
            <w:vAlign w:val="center"/>
          </w:tcPr>
          <w:p w14:paraId="7DB71A79">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2.00</w:t>
            </w:r>
          </w:p>
        </w:tc>
        <w:tc>
          <w:tcPr>
            <w:tcW w:w="1455" w:type="dxa"/>
            <w:tcBorders>
              <w:top w:val="single" w:color="auto" w:sz="4" w:space="0"/>
              <w:left w:val="nil"/>
              <w:bottom w:val="single" w:color="auto" w:sz="4" w:space="0"/>
              <w:right w:val="single" w:color="auto" w:sz="4" w:space="0"/>
            </w:tcBorders>
            <w:noWrap/>
            <w:vAlign w:val="center"/>
          </w:tcPr>
          <w:p w14:paraId="5DFA040F">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100%</w:t>
            </w:r>
          </w:p>
        </w:tc>
      </w:tr>
      <w:tr w14:paraId="4121D54B">
        <w:tblPrEx>
          <w:tblCellMar>
            <w:top w:w="0" w:type="dxa"/>
            <w:left w:w="108" w:type="dxa"/>
            <w:bottom w:w="0" w:type="dxa"/>
            <w:right w:w="108" w:type="dxa"/>
          </w:tblCellMar>
        </w:tblPrEx>
        <w:trPr>
          <w:trHeight w:val="516" w:hRule="atLeast"/>
        </w:trPr>
        <w:tc>
          <w:tcPr>
            <w:tcW w:w="1835" w:type="dxa"/>
            <w:tcBorders>
              <w:top w:val="single" w:color="auto" w:sz="4" w:space="0"/>
              <w:left w:val="single" w:color="auto" w:sz="4" w:space="0"/>
              <w:bottom w:val="single" w:color="auto" w:sz="4" w:space="0"/>
              <w:right w:val="single" w:color="auto" w:sz="4" w:space="0"/>
            </w:tcBorders>
            <w:noWrap/>
            <w:vAlign w:val="center"/>
          </w:tcPr>
          <w:p w14:paraId="64677FAC">
            <w:pPr>
              <w:pStyle w:val="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eastAsia="仿宋" w:cs="宋体"/>
                <w:bCs/>
                <w:color w:val="auto"/>
                <w:kern w:val="0"/>
                <w:sz w:val="28"/>
                <w:szCs w:val="28"/>
                <w:lang w:val="en-US" w:eastAsia="zh-CN" w:bidi="ar-SA"/>
              </w:rPr>
            </w:pPr>
            <w:r>
              <w:rPr>
                <w:rFonts w:hint="eastAsia" w:eastAsia="仿宋" w:cs="宋体"/>
                <w:bCs/>
                <w:color w:val="auto"/>
                <w:kern w:val="0"/>
                <w:sz w:val="28"/>
                <w:szCs w:val="28"/>
                <w:lang w:val="en-US" w:eastAsia="zh-CN" w:bidi="ar-SA"/>
              </w:rPr>
              <w:t>合计</w:t>
            </w:r>
          </w:p>
        </w:tc>
        <w:tc>
          <w:tcPr>
            <w:tcW w:w="1631" w:type="dxa"/>
            <w:tcBorders>
              <w:top w:val="single" w:color="auto" w:sz="4" w:space="0"/>
              <w:left w:val="nil"/>
              <w:bottom w:val="single" w:color="auto" w:sz="4" w:space="0"/>
              <w:right w:val="single" w:color="auto" w:sz="4" w:space="0"/>
            </w:tcBorders>
            <w:noWrap/>
            <w:vAlign w:val="center"/>
          </w:tcPr>
          <w:p w14:paraId="16BC31C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eastAsia="仿宋" w:cs="宋体"/>
                <w:bCs/>
                <w:color w:val="auto"/>
                <w:kern w:val="0"/>
                <w:sz w:val="28"/>
                <w:szCs w:val="28"/>
                <w:lang w:val="en-US" w:eastAsia="zh-CN" w:bidi="ar-SA"/>
              </w:rPr>
            </w:pPr>
          </w:p>
        </w:tc>
        <w:tc>
          <w:tcPr>
            <w:tcW w:w="1198" w:type="dxa"/>
            <w:tcBorders>
              <w:top w:val="single" w:color="auto" w:sz="4" w:space="0"/>
              <w:left w:val="nil"/>
              <w:bottom w:val="single" w:color="auto" w:sz="4" w:space="0"/>
              <w:right w:val="single" w:color="auto" w:sz="4" w:space="0"/>
            </w:tcBorders>
            <w:noWrap/>
            <w:vAlign w:val="center"/>
          </w:tcPr>
          <w:p w14:paraId="6EEB99D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spacing w:val="-20"/>
                <w:kern w:val="0"/>
                <w:sz w:val="28"/>
                <w:szCs w:val="28"/>
                <w:lang w:val="zh-CN" w:eastAsia="zh-CN" w:bidi="ar-SA"/>
              </w:rPr>
            </w:pPr>
          </w:p>
        </w:tc>
        <w:tc>
          <w:tcPr>
            <w:tcW w:w="1224" w:type="dxa"/>
            <w:tcBorders>
              <w:top w:val="single" w:color="auto" w:sz="4" w:space="0"/>
              <w:left w:val="nil"/>
              <w:bottom w:val="single" w:color="auto" w:sz="4" w:space="0"/>
              <w:right w:val="single" w:color="auto" w:sz="4" w:space="0"/>
            </w:tcBorders>
            <w:noWrap/>
            <w:vAlign w:val="center"/>
          </w:tcPr>
          <w:p w14:paraId="4A6BEE91">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5621.26</w:t>
            </w:r>
          </w:p>
        </w:tc>
        <w:tc>
          <w:tcPr>
            <w:tcW w:w="1358" w:type="dxa"/>
            <w:tcBorders>
              <w:top w:val="single" w:color="auto" w:sz="4" w:space="0"/>
              <w:left w:val="nil"/>
              <w:bottom w:val="single" w:color="auto" w:sz="4" w:space="0"/>
              <w:right w:val="single" w:color="auto" w:sz="4" w:space="0"/>
            </w:tcBorders>
            <w:shd w:val="clear" w:color="auto" w:fill="auto"/>
            <w:noWrap/>
            <w:vAlign w:val="center"/>
          </w:tcPr>
          <w:p w14:paraId="3879CE67">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3543.29</w:t>
            </w:r>
          </w:p>
        </w:tc>
        <w:tc>
          <w:tcPr>
            <w:tcW w:w="1455" w:type="dxa"/>
            <w:tcBorders>
              <w:top w:val="single" w:color="auto" w:sz="4" w:space="0"/>
              <w:left w:val="nil"/>
              <w:bottom w:val="single" w:color="auto" w:sz="4" w:space="0"/>
              <w:right w:val="single" w:color="auto" w:sz="4" w:space="0"/>
            </w:tcBorders>
            <w:shd w:val="clear" w:color="auto" w:fill="auto"/>
            <w:noWrap/>
            <w:vAlign w:val="center"/>
          </w:tcPr>
          <w:p w14:paraId="6458B579">
            <w:pPr>
              <w:pStyle w:val="2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cs="仿宋"/>
                <w:b w:val="0"/>
                <w:bCs/>
                <w:color w:val="auto"/>
                <w:sz w:val="28"/>
                <w:szCs w:val="28"/>
                <w:lang w:val="en-US" w:eastAsia="zh-CN"/>
              </w:rPr>
            </w:pPr>
            <w:r>
              <w:rPr>
                <w:rFonts w:hint="eastAsia" w:ascii="仿宋" w:hAnsi="仿宋" w:cs="仿宋"/>
                <w:b w:val="0"/>
                <w:bCs/>
                <w:color w:val="auto"/>
                <w:sz w:val="28"/>
                <w:szCs w:val="28"/>
                <w:lang w:val="en-US" w:eastAsia="zh-CN"/>
              </w:rPr>
              <w:t>63.03%</w:t>
            </w:r>
          </w:p>
        </w:tc>
      </w:tr>
    </w:tbl>
    <w:p w14:paraId="35A3384B">
      <w:pPr>
        <w:pStyle w:val="5"/>
        <w:pageBreakBefore w:val="0"/>
        <w:numPr>
          <w:ilvl w:val="0"/>
          <w:numId w:val="0"/>
        </w:numPr>
        <w:kinsoku/>
        <w:wordWrap/>
        <w:overflowPunct/>
        <w:topLinePunct w:val="0"/>
        <w:autoSpaceDE/>
        <w:autoSpaceDN/>
        <w:bidi w:val="0"/>
        <w:snapToGrid w:val="0"/>
        <w:spacing w:before="0" w:after="0" w:line="360" w:lineRule="auto"/>
        <w:ind w:left="0" w:leftChars="0" w:firstLine="632" w:firstLineChars="200"/>
        <w:outlineLvl w:val="9"/>
        <w:rPr>
          <w:rFonts w:hint="eastAsia" w:ascii="仿宋" w:hAnsi="仿宋" w:eastAsia="仿宋" w:cs="仿宋"/>
          <w:color w:val="000000"/>
          <w:kern w:val="0"/>
          <w:sz w:val="32"/>
          <w:szCs w:val="32"/>
          <w:highlight w:val="none"/>
          <w:shd w:val="clear" w:color="auto" w:fill="FFFFFF"/>
          <w:lang w:val="zh-CN"/>
        </w:rPr>
      </w:pPr>
      <w:r>
        <w:rPr>
          <w:rFonts w:hint="eastAsia" w:ascii="仿宋" w:hAnsi="仿宋" w:eastAsia="仿宋" w:cs="仿宋"/>
          <w:b/>
          <w:bCs/>
          <w:color w:val="000000"/>
          <w:kern w:val="0"/>
          <w:sz w:val="32"/>
          <w:szCs w:val="32"/>
          <w:shd w:val="clear" w:fill="FFFFFF"/>
          <w:lang w:val="zh-CN" w:eastAsia="zh-CN" w:bidi="ar-SA"/>
        </w:rPr>
        <w:t>2.</w:t>
      </w:r>
      <w:r>
        <w:rPr>
          <w:rFonts w:hint="eastAsia" w:ascii="仿宋" w:hAnsi="仿宋" w:eastAsia="仿宋" w:cs="仿宋"/>
          <w:color w:val="000000"/>
          <w:kern w:val="0"/>
          <w:sz w:val="32"/>
          <w:szCs w:val="32"/>
          <w:highlight w:val="none"/>
          <w:shd w:val="clear" w:color="auto" w:fill="FFFFFF"/>
          <w:lang w:val="zh-CN"/>
        </w:rPr>
        <w:t>预算管理</w:t>
      </w:r>
    </w:p>
    <w:p w14:paraId="2AB88CC8">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highlight w:val="none"/>
          <w:lang w:val="zh-CN"/>
        </w:rPr>
      </w:pPr>
      <w:r>
        <w:rPr>
          <w:rFonts w:hint="eastAsia" w:ascii="仿宋" w:hAnsi="仿宋" w:eastAsia="仿宋" w:cs="仿宋"/>
          <w:b w:val="0"/>
          <w:bCs w:val="0"/>
          <w:highlight w:val="none"/>
          <w:lang w:val="en-US" w:eastAsia="zh-CN"/>
        </w:rPr>
        <w:t>（1）</w:t>
      </w:r>
      <w:r>
        <w:rPr>
          <w:rFonts w:hint="eastAsia" w:ascii="仿宋" w:hAnsi="仿宋" w:eastAsia="仿宋" w:cs="仿宋"/>
          <w:b w:val="0"/>
          <w:bCs w:val="0"/>
          <w:highlight w:val="none"/>
          <w:lang w:val="zh-CN"/>
        </w:rPr>
        <w:t>预算编制质量</w:t>
      </w:r>
    </w:p>
    <w:p w14:paraId="747A67E0">
      <w:pPr>
        <w:pageBreakBefore w:val="0"/>
        <w:kinsoku/>
        <w:wordWrap/>
        <w:overflowPunct/>
        <w:topLinePunct w:val="0"/>
        <w:autoSpaceDE/>
        <w:autoSpaceDN/>
        <w:bidi w:val="0"/>
        <w:snapToGrid w:val="0"/>
        <w:spacing w:line="360" w:lineRule="auto"/>
        <w:ind w:firstLine="632" w:firstLineChars="200"/>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根据2024年初预算批复文件及财政调整预算相关文件及2024年1-12月预算可执行情况表。本单位2024年偏离度16.71%。根据《部门整体支出绩效自评打分表》的评分说明本项指标权重8分、得分6.66分。</w:t>
      </w:r>
    </w:p>
    <w:tbl>
      <w:tblPr>
        <w:tblStyle w:val="18"/>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2265"/>
        <w:gridCol w:w="2265"/>
        <w:gridCol w:w="2124"/>
      </w:tblGrid>
      <w:tr w14:paraId="45AE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076" w:type="dxa"/>
            <w:vAlign w:val="center"/>
          </w:tcPr>
          <w:p w14:paraId="306C1C94">
            <w:pPr>
              <w:pStyle w:val="28"/>
              <w:pageBreakBefore w:val="0"/>
              <w:kinsoku/>
              <w:wordWrap/>
              <w:overflowPunct/>
              <w:topLinePunct w:val="0"/>
              <w:autoSpaceDE/>
              <w:autoSpaceDN/>
              <w:bidi w:val="0"/>
              <w:snapToGrid w:val="0"/>
              <w:spacing w:line="36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预算编制质量</w:t>
            </w:r>
          </w:p>
        </w:tc>
        <w:tc>
          <w:tcPr>
            <w:tcW w:w="2265" w:type="dxa"/>
            <w:vAlign w:val="center"/>
          </w:tcPr>
          <w:p w14:paraId="6B304577">
            <w:pPr>
              <w:pStyle w:val="28"/>
              <w:pageBreakBefore w:val="0"/>
              <w:kinsoku/>
              <w:wordWrap/>
              <w:overflowPunct/>
              <w:topLinePunct w:val="0"/>
              <w:autoSpaceDE/>
              <w:autoSpaceDN/>
              <w:bidi w:val="0"/>
              <w:snapToGrid w:val="0"/>
              <w:spacing w:line="36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预算执行数</w:t>
            </w:r>
          </w:p>
        </w:tc>
        <w:tc>
          <w:tcPr>
            <w:tcW w:w="2265" w:type="dxa"/>
            <w:vAlign w:val="center"/>
          </w:tcPr>
          <w:p w14:paraId="2FEE7789">
            <w:pPr>
              <w:pStyle w:val="28"/>
              <w:pageBreakBefore w:val="0"/>
              <w:kinsoku/>
              <w:wordWrap/>
              <w:overflowPunct/>
              <w:topLinePunct w:val="0"/>
              <w:autoSpaceDE/>
              <w:autoSpaceDN/>
              <w:bidi w:val="0"/>
              <w:snapToGrid w:val="0"/>
              <w:spacing w:line="36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年初预算数</w:t>
            </w:r>
          </w:p>
        </w:tc>
        <w:tc>
          <w:tcPr>
            <w:tcW w:w="2124" w:type="dxa"/>
            <w:vAlign w:val="center"/>
          </w:tcPr>
          <w:p w14:paraId="5704BE51">
            <w:pPr>
              <w:pStyle w:val="28"/>
              <w:pageBreakBefore w:val="0"/>
              <w:kinsoku/>
              <w:wordWrap/>
              <w:overflowPunct/>
              <w:topLinePunct w:val="0"/>
              <w:autoSpaceDE/>
              <w:autoSpaceDN/>
              <w:bidi w:val="0"/>
              <w:snapToGrid w:val="0"/>
              <w:spacing w:line="360" w:lineRule="auto"/>
              <w:jc w:val="center"/>
              <w:rPr>
                <w:rFonts w:hint="default"/>
                <w:b/>
                <w:bCs w:val="0"/>
                <w:color w:val="auto"/>
                <w:spacing w:val="-20"/>
                <w:sz w:val="28"/>
                <w:szCs w:val="28"/>
                <w:lang w:val="en-US" w:eastAsia="zh-CN"/>
              </w:rPr>
            </w:pPr>
            <w:r>
              <w:rPr>
                <w:rFonts w:hint="eastAsia"/>
                <w:b/>
                <w:bCs w:val="0"/>
                <w:color w:val="auto"/>
                <w:spacing w:val="-20"/>
                <w:sz w:val="24"/>
                <w:szCs w:val="24"/>
                <w:lang w:val="en-US" w:eastAsia="zh-CN"/>
              </w:rPr>
              <w:t>财政拨款预算偏离度</w:t>
            </w:r>
          </w:p>
        </w:tc>
      </w:tr>
      <w:tr w14:paraId="413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076" w:type="dxa"/>
            <w:vAlign w:val="center"/>
          </w:tcPr>
          <w:p w14:paraId="7DD3C38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财政拨款</w:t>
            </w:r>
          </w:p>
        </w:tc>
        <w:tc>
          <w:tcPr>
            <w:tcW w:w="2265" w:type="dxa"/>
            <w:vAlign w:val="center"/>
          </w:tcPr>
          <w:p w14:paraId="39176225">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8137.11</w:t>
            </w:r>
          </w:p>
        </w:tc>
        <w:tc>
          <w:tcPr>
            <w:tcW w:w="2265" w:type="dxa"/>
            <w:shd w:val="clear" w:color="auto" w:fill="auto"/>
            <w:vAlign w:val="center"/>
          </w:tcPr>
          <w:p w14:paraId="2F734804">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3243.18</w:t>
            </w:r>
          </w:p>
        </w:tc>
        <w:tc>
          <w:tcPr>
            <w:tcW w:w="2124" w:type="dxa"/>
            <w:vAlign w:val="center"/>
          </w:tcPr>
          <w:p w14:paraId="464C9154">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16.71%</w:t>
            </w:r>
          </w:p>
        </w:tc>
      </w:tr>
      <w:tr w14:paraId="2BC8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76" w:type="dxa"/>
          </w:tcPr>
          <w:p w14:paraId="207FDE71">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资产配置</w:t>
            </w:r>
          </w:p>
        </w:tc>
        <w:tc>
          <w:tcPr>
            <w:tcW w:w="2265" w:type="dxa"/>
          </w:tcPr>
          <w:p w14:paraId="344EA5F5">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2265" w:type="dxa"/>
          </w:tcPr>
          <w:p w14:paraId="5465D334">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2124" w:type="dxa"/>
          </w:tcPr>
          <w:p w14:paraId="3DB2623A">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p>
        </w:tc>
      </w:tr>
      <w:tr w14:paraId="5747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76" w:type="dxa"/>
          </w:tcPr>
          <w:p w14:paraId="1CCEF5AF">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政府采购</w:t>
            </w:r>
          </w:p>
        </w:tc>
        <w:tc>
          <w:tcPr>
            <w:tcW w:w="2265" w:type="dxa"/>
          </w:tcPr>
          <w:p w14:paraId="48847A43">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2265" w:type="dxa"/>
          </w:tcPr>
          <w:p w14:paraId="68323A21">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2124" w:type="dxa"/>
          </w:tcPr>
          <w:p w14:paraId="45203404">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p>
        </w:tc>
      </w:tr>
      <w:tr w14:paraId="1B6D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76" w:type="dxa"/>
          </w:tcPr>
          <w:p w14:paraId="2F3D522C">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预算编制质量得分计算</w:t>
            </w:r>
          </w:p>
        </w:tc>
        <w:tc>
          <w:tcPr>
            <w:tcW w:w="4530" w:type="dxa"/>
            <w:gridSpan w:val="2"/>
          </w:tcPr>
          <w:p w14:paraId="0B37A194">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该项指标得分=（1-财政拨款预算偏离度）×100%×8。偏离度=|预算执行数-调整预算数|÷调整预算数。</w:t>
            </w:r>
          </w:p>
        </w:tc>
        <w:tc>
          <w:tcPr>
            <w:tcW w:w="2124" w:type="dxa"/>
          </w:tcPr>
          <w:p w14:paraId="642618F1">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6</w:t>
            </w:r>
            <w:r>
              <w:rPr>
                <w:rFonts w:hint="eastAsia" w:ascii="仿宋" w:hAnsi="仿宋" w:eastAsia="仿宋" w:cs="仿宋"/>
                <w:b w:val="0"/>
                <w:bCs/>
                <w:color w:val="auto"/>
                <w:kern w:val="0"/>
                <w:sz w:val="28"/>
                <w:szCs w:val="28"/>
                <w:lang w:val="en-US" w:eastAsia="zh-CN"/>
              </w:rPr>
              <w:t>.66</w:t>
            </w:r>
          </w:p>
        </w:tc>
      </w:tr>
    </w:tbl>
    <w:p w14:paraId="789247DC">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（2）支出执行进度</w:t>
      </w:r>
    </w:p>
    <w:p w14:paraId="0E1A4302">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spacing w:val="0"/>
          <w:highlight w:val="none"/>
          <w:lang w:val="en-US" w:eastAsia="zh-CN"/>
        </w:rPr>
      </w:pPr>
      <w:r>
        <w:rPr>
          <w:rFonts w:hint="eastAsia" w:ascii="仿宋" w:hAnsi="仿宋" w:eastAsia="仿宋" w:cs="仿宋"/>
          <w:b w:val="0"/>
          <w:bCs w:val="0"/>
          <w:spacing w:val="0"/>
          <w:highlight w:val="none"/>
          <w:lang w:val="en-US" w:eastAsia="zh-CN"/>
        </w:rPr>
        <w:t>根据2024年初预算批复文件及调整预算调整相关文件及2024年1-12月预算可执行情况表。根据《部门整体支出绩效自评打分表》的评分说明本项指标权重9分、得分7.8分。本单位2024年支出执行进度具体如下：</w:t>
      </w:r>
    </w:p>
    <w:tbl>
      <w:tblPr>
        <w:tblStyle w:val="18"/>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5"/>
        <w:gridCol w:w="1791"/>
        <w:gridCol w:w="2265"/>
        <w:gridCol w:w="2049"/>
      </w:tblGrid>
      <w:tr w14:paraId="6F20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625" w:type="dxa"/>
          </w:tcPr>
          <w:p w14:paraId="2C1397B0">
            <w:pPr>
              <w:pStyle w:val="28"/>
              <w:pageBreakBefore w:val="0"/>
              <w:kinsoku/>
              <w:wordWrap/>
              <w:overflowPunct/>
              <w:topLinePunct w:val="0"/>
              <w:autoSpaceDE/>
              <w:autoSpaceDN/>
              <w:bidi w:val="0"/>
              <w:adjustRightInd w:val="0"/>
              <w:snapToGrid w:val="0"/>
              <w:spacing w:line="360" w:lineRule="auto"/>
              <w:jc w:val="center"/>
              <w:textAlignment w:val="auto"/>
              <w:rPr>
                <w:rFonts w:hint="default"/>
                <w:b/>
                <w:bCs w:val="0"/>
                <w:color w:val="auto"/>
                <w:spacing w:val="0"/>
                <w:sz w:val="28"/>
                <w:szCs w:val="28"/>
                <w:lang w:val="en-US" w:eastAsia="zh-CN"/>
              </w:rPr>
            </w:pPr>
            <w:r>
              <w:rPr>
                <w:rFonts w:hint="eastAsia"/>
                <w:b/>
                <w:bCs w:val="0"/>
                <w:color w:val="auto"/>
                <w:spacing w:val="0"/>
                <w:sz w:val="28"/>
                <w:szCs w:val="28"/>
                <w:lang w:val="en-US" w:eastAsia="zh-CN"/>
              </w:rPr>
              <w:t>项目</w:t>
            </w:r>
          </w:p>
        </w:tc>
        <w:tc>
          <w:tcPr>
            <w:tcW w:w="1791" w:type="dxa"/>
          </w:tcPr>
          <w:p w14:paraId="46B133A6">
            <w:pPr>
              <w:pStyle w:val="28"/>
              <w:pageBreakBefore w:val="0"/>
              <w:kinsoku/>
              <w:wordWrap/>
              <w:overflowPunct/>
              <w:topLinePunct w:val="0"/>
              <w:autoSpaceDE/>
              <w:autoSpaceDN/>
              <w:bidi w:val="0"/>
              <w:adjustRightInd w:val="0"/>
              <w:snapToGrid w:val="0"/>
              <w:spacing w:line="360" w:lineRule="auto"/>
              <w:jc w:val="center"/>
              <w:textAlignment w:val="auto"/>
              <w:rPr>
                <w:rFonts w:hint="default"/>
                <w:b/>
                <w:bCs w:val="0"/>
                <w:color w:val="auto"/>
                <w:spacing w:val="0"/>
                <w:sz w:val="28"/>
                <w:szCs w:val="28"/>
                <w:lang w:val="en-US" w:eastAsia="zh-CN"/>
              </w:rPr>
            </w:pPr>
            <w:r>
              <w:rPr>
                <w:rFonts w:hint="eastAsia"/>
                <w:b/>
                <w:bCs w:val="0"/>
                <w:color w:val="auto"/>
                <w:spacing w:val="0"/>
                <w:sz w:val="28"/>
                <w:szCs w:val="28"/>
                <w:lang w:val="en-US" w:eastAsia="zh-CN"/>
              </w:rPr>
              <w:t>实际支付数</w:t>
            </w:r>
          </w:p>
        </w:tc>
        <w:tc>
          <w:tcPr>
            <w:tcW w:w="2265" w:type="dxa"/>
          </w:tcPr>
          <w:p w14:paraId="41F67318">
            <w:pPr>
              <w:pStyle w:val="28"/>
              <w:pageBreakBefore w:val="0"/>
              <w:kinsoku/>
              <w:wordWrap/>
              <w:overflowPunct/>
              <w:topLinePunct w:val="0"/>
              <w:autoSpaceDE/>
              <w:autoSpaceDN/>
              <w:bidi w:val="0"/>
              <w:adjustRightInd w:val="0"/>
              <w:snapToGrid w:val="0"/>
              <w:spacing w:line="360" w:lineRule="auto"/>
              <w:jc w:val="center"/>
              <w:textAlignment w:val="auto"/>
              <w:rPr>
                <w:rFonts w:hint="default"/>
                <w:b/>
                <w:bCs w:val="0"/>
                <w:color w:val="auto"/>
                <w:spacing w:val="0"/>
                <w:sz w:val="28"/>
                <w:szCs w:val="28"/>
                <w:lang w:val="en-US" w:eastAsia="zh-CN"/>
              </w:rPr>
            </w:pPr>
            <w:r>
              <w:rPr>
                <w:rFonts w:hint="eastAsia"/>
                <w:b/>
                <w:bCs w:val="0"/>
                <w:color w:val="auto"/>
                <w:spacing w:val="0"/>
                <w:sz w:val="28"/>
                <w:szCs w:val="28"/>
                <w:lang w:val="en-US" w:eastAsia="zh-CN"/>
              </w:rPr>
              <w:t>预算数</w:t>
            </w:r>
          </w:p>
        </w:tc>
        <w:tc>
          <w:tcPr>
            <w:tcW w:w="2049" w:type="dxa"/>
          </w:tcPr>
          <w:p w14:paraId="5AF9F9FB">
            <w:pPr>
              <w:pStyle w:val="28"/>
              <w:pageBreakBefore w:val="0"/>
              <w:kinsoku/>
              <w:wordWrap/>
              <w:overflowPunct/>
              <w:topLinePunct w:val="0"/>
              <w:autoSpaceDE/>
              <w:autoSpaceDN/>
              <w:bidi w:val="0"/>
              <w:adjustRightInd w:val="0"/>
              <w:snapToGrid w:val="0"/>
              <w:spacing w:line="360" w:lineRule="auto"/>
              <w:jc w:val="center"/>
              <w:textAlignment w:val="auto"/>
              <w:rPr>
                <w:rFonts w:hint="default"/>
                <w:b/>
                <w:bCs w:val="0"/>
                <w:color w:val="auto"/>
                <w:spacing w:val="0"/>
                <w:sz w:val="28"/>
                <w:szCs w:val="28"/>
                <w:lang w:val="en-US" w:eastAsia="zh-CN"/>
              </w:rPr>
            </w:pPr>
            <w:r>
              <w:rPr>
                <w:rFonts w:hint="eastAsia"/>
                <w:b/>
                <w:bCs w:val="0"/>
                <w:color w:val="auto"/>
                <w:spacing w:val="0"/>
                <w:sz w:val="28"/>
                <w:szCs w:val="28"/>
                <w:lang w:val="en-US" w:eastAsia="zh-CN"/>
              </w:rPr>
              <w:t>支出执行进度</w:t>
            </w:r>
          </w:p>
        </w:tc>
      </w:tr>
      <w:tr w14:paraId="1081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5" w:type="dxa"/>
          </w:tcPr>
          <w:p w14:paraId="4C71D90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 w:cs="宋体"/>
                <w:bCs/>
                <w:color w:val="auto"/>
                <w:spacing w:val="0"/>
                <w:kern w:val="0"/>
                <w:sz w:val="28"/>
                <w:szCs w:val="28"/>
                <w:lang w:val="en-US" w:eastAsia="zh-CN" w:bidi="ar-SA"/>
              </w:rPr>
            </w:pPr>
            <w:r>
              <w:rPr>
                <w:rFonts w:hint="eastAsia" w:ascii="Times New Roman" w:hAnsi="Times New Roman" w:eastAsia="仿宋" w:cs="宋体"/>
                <w:bCs/>
                <w:color w:val="auto"/>
                <w:spacing w:val="0"/>
                <w:kern w:val="0"/>
                <w:sz w:val="28"/>
                <w:szCs w:val="28"/>
                <w:lang w:val="en-US" w:eastAsia="zh-CN" w:bidi="ar-SA"/>
              </w:rPr>
              <w:t>中省转移支付资金</w:t>
            </w:r>
          </w:p>
        </w:tc>
        <w:tc>
          <w:tcPr>
            <w:tcW w:w="1791" w:type="dxa"/>
            <w:vAlign w:val="center"/>
          </w:tcPr>
          <w:p w14:paraId="6657045B">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3117.16</w:t>
            </w:r>
          </w:p>
        </w:tc>
        <w:tc>
          <w:tcPr>
            <w:tcW w:w="2265" w:type="dxa"/>
            <w:vAlign w:val="center"/>
          </w:tcPr>
          <w:p w14:paraId="0469413E">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5195.13</w:t>
            </w:r>
          </w:p>
        </w:tc>
        <w:tc>
          <w:tcPr>
            <w:tcW w:w="2049" w:type="dxa"/>
            <w:vAlign w:val="center"/>
          </w:tcPr>
          <w:p w14:paraId="67854632">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60%</w:t>
            </w:r>
          </w:p>
        </w:tc>
      </w:tr>
      <w:tr w14:paraId="2E8E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5" w:type="dxa"/>
          </w:tcPr>
          <w:p w14:paraId="5A4FD40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 w:cs="宋体"/>
                <w:bCs/>
                <w:color w:val="auto"/>
                <w:spacing w:val="0"/>
                <w:kern w:val="0"/>
                <w:sz w:val="28"/>
                <w:szCs w:val="28"/>
                <w:lang w:val="en-US" w:eastAsia="zh-CN" w:bidi="ar-SA"/>
              </w:rPr>
            </w:pPr>
            <w:r>
              <w:rPr>
                <w:rFonts w:hint="eastAsia" w:ascii="Times New Roman" w:hAnsi="Times New Roman" w:eastAsia="仿宋" w:cs="宋体"/>
                <w:bCs/>
                <w:color w:val="auto"/>
                <w:spacing w:val="0"/>
                <w:kern w:val="0"/>
                <w:sz w:val="28"/>
                <w:szCs w:val="28"/>
                <w:lang w:val="en-US" w:eastAsia="zh-CN" w:bidi="ar-SA"/>
              </w:rPr>
              <w:t>专项债券资金</w:t>
            </w:r>
          </w:p>
        </w:tc>
        <w:tc>
          <w:tcPr>
            <w:tcW w:w="1791" w:type="dxa"/>
            <w:vAlign w:val="center"/>
          </w:tcPr>
          <w:p w14:paraId="72892151">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0</w:t>
            </w:r>
          </w:p>
        </w:tc>
        <w:tc>
          <w:tcPr>
            <w:tcW w:w="2265" w:type="dxa"/>
            <w:vAlign w:val="center"/>
          </w:tcPr>
          <w:p w14:paraId="7154AAE9">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0</w:t>
            </w:r>
          </w:p>
        </w:tc>
        <w:tc>
          <w:tcPr>
            <w:tcW w:w="2049" w:type="dxa"/>
            <w:vAlign w:val="center"/>
          </w:tcPr>
          <w:p w14:paraId="57F72701">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100%</w:t>
            </w:r>
          </w:p>
        </w:tc>
      </w:tr>
      <w:tr w14:paraId="281E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5" w:type="dxa"/>
          </w:tcPr>
          <w:p w14:paraId="19CE40B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 w:cs="宋体"/>
                <w:bCs/>
                <w:color w:val="auto"/>
                <w:spacing w:val="0"/>
                <w:kern w:val="0"/>
                <w:sz w:val="28"/>
                <w:szCs w:val="28"/>
                <w:lang w:val="en-US" w:eastAsia="zh-CN" w:bidi="ar-SA"/>
              </w:rPr>
            </w:pPr>
            <w:r>
              <w:rPr>
                <w:rFonts w:hint="eastAsia" w:ascii="Times New Roman" w:hAnsi="Times New Roman" w:eastAsia="仿宋" w:cs="宋体"/>
                <w:bCs/>
                <w:color w:val="auto"/>
                <w:spacing w:val="0"/>
                <w:kern w:val="0"/>
                <w:sz w:val="28"/>
                <w:szCs w:val="28"/>
                <w:lang w:val="en-US" w:eastAsia="zh-CN" w:bidi="ar-SA"/>
              </w:rPr>
              <w:t>专项预算项目</w:t>
            </w:r>
          </w:p>
        </w:tc>
        <w:tc>
          <w:tcPr>
            <w:tcW w:w="1791" w:type="dxa"/>
            <w:vAlign w:val="center"/>
          </w:tcPr>
          <w:p w14:paraId="25A2F380">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426.13</w:t>
            </w:r>
          </w:p>
        </w:tc>
        <w:tc>
          <w:tcPr>
            <w:tcW w:w="2265" w:type="dxa"/>
            <w:vAlign w:val="center"/>
          </w:tcPr>
          <w:p w14:paraId="0F0AB593">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426.13</w:t>
            </w:r>
          </w:p>
        </w:tc>
        <w:tc>
          <w:tcPr>
            <w:tcW w:w="2049" w:type="dxa"/>
            <w:vAlign w:val="center"/>
          </w:tcPr>
          <w:p w14:paraId="2336FC18">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100%</w:t>
            </w:r>
          </w:p>
        </w:tc>
      </w:tr>
      <w:tr w14:paraId="40C6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5" w:type="dxa"/>
          </w:tcPr>
          <w:p w14:paraId="7250AE1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 w:cs="宋体"/>
                <w:bCs/>
                <w:color w:val="auto"/>
                <w:spacing w:val="0"/>
                <w:kern w:val="0"/>
                <w:sz w:val="28"/>
                <w:szCs w:val="28"/>
                <w:lang w:val="en-US" w:eastAsia="zh-CN" w:bidi="ar-SA"/>
              </w:rPr>
            </w:pPr>
            <w:r>
              <w:rPr>
                <w:rFonts w:hint="eastAsia" w:ascii="Times New Roman" w:hAnsi="Times New Roman" w:eastAsia="仿宋" w:cs="宋体"/>
                <w:bCs/>
                <w:color w:val="auto"/>
                <w:spacing w:val="0"/>
                <w:kern w:val="0"/>
                <w:sz w:val="28"/>
                <w:szCs w:val="28"/>
                <w:lang w:val="en-US" w:eastAsia="zh-CN" w:bidi="ar-SA"/>
              </w:rPr>
              <w:t>合计</w:t>
            </w:r>
          </w:p>
        </w:tc>
        <w:tc>
          <w:tcPr>
            <w:tcW w:w="1791" w:type="dxa"/>
            <w:vAlign w:val="center"/>
          </w:tcPr>
          <w:p w14:paraId="5B974A86">
            <w:pPr>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3543.29</w:t>
            </w:r>
          </w:p>
        </w:tc>
        <w:tc>
          <w:tcPr>
            <w:tcW w:w="2265" w:type="dxa"/>
            <w:vAlign w:val="center"/>
          </w:tcPr>
          <w:p w14:paraId="15440BD9">
            <w:pPr>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5621.26</w:t>
            </w:r>
          </w:p>
        </w:tc>
        <w:tc>
          <w:tcPr>
            <w:tcW w:w="2049" w:type="dxa"/>
            <w:vAlign w:val="center"/>
          </w:tcPr>
          <w:p w14:paraId="1F551718">
            <w:pPr>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val="0"/>
                <w:bCs/>
                <w:color w:val="auto"/>
                <w:spacing w:val="0"/>
                <w:kern w:val="0"/>
                <w:sz w:val="28"/>
                <w:szCs w:val="28"/>
                <w:lang w:val="en-US" w:eastAsia="zh-CN"/>
              </w:rPr>
            </w:pPr>
            <w:r>
              <w:rPr>
                <w:rFonts w:hint="eastAsia" w:ascii="仿宋" w:hAnsi="仿宋" w:eastAsia="仿宋" w:cs="仿宋"/>
                <w:b w:val="0"/>
                <w:bCs/>
                <w:color w:val="auto"/>
                <w:spacing w:val="0"/>
                <w:kern w:val="0"/>
                <w:sz w:val="28"/>
                <w:szCs w:val="28"/>
                <w:lang w:val="en-US" w:eastAsia="zh-CN"/>
              </w:rPr>
              <w:t>63.03%</w:t>
            </w:r>
          </w:p>
        </w:tc>
      </w:tr>
    </w:tbl>
    <w:p w14:paraId="1072A598">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rPr>
      </w:pPr>
      <w:r>
        <w:rPr>
          <w:rFonts w:hint="eastAsia" w:ascii="仿宋" w:hAnsi="仿宋" w:eastAsia="仿宋" w:cs="仿宋"/>
          <w:b w:val="0"/>
          <w:bCs w:val="0"/>
          <w:spacing w:val="0"/>
          <w:highlight w:val="none"/>
          <w:lang w:val="en-US" w:eastAsia="zh-CN"/>
        </w:rPr>
        <w:t>（3）预算年终结余</w:t>
      </w:r>
    </w:p>
    <w:p w14:paraId="47085703">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根据根据2024年初预算批复文件财政涉及追加或调整预算等文件、2024年1-12月预算可执行情况表及2024年部门决算表。本单位2024年年终部门预算注销金额0万元和结转金额2071.33万元，2024年，单位预算10215.08万元。整体预算结余率20.27%。根据《部门整体支出绩效自评打分表》的评分说明本项指标权重8分、得分6.38分。</w:t>
      </w:r>
    </w:p>
    <w:p w14:paraId="129FE8D4">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（4）</w:t>
      </w:r>
      <w:r>
        <w:rPr>
          <w:rFonts w:hint="default" w:ascii="仿宋" w:hAnsi="仿宋" w:eastAsia="仿宋" w:cs="仿宋"/>
          <w:b w:val="0"/>
          <w:bCs w:val="0"/>
          <w:spacing w:val="0"/>
          <w:highlight w:val="none"/>
          <w:lang w:val="en-US" w:eastAsia="zh-CN"/>
        </w:rPr>
        <w:t>严控一般性支出</w:t>
      </w:r>
    </w:p>
    <w:p w14:paraId="01375470">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spacing w:val="0"/>
          <w:highlight w:val="none"/>
          <w:lang w:val="en-US" w:eastAsia="zh-CN"/>
        </w:rPr>
      </w:pPr>
      <w:r>
        <w:rPr>
          <w:rFonts w:hint="eastAsia" w:ascii="仿宋" w:hAnsi="仿宋" w:eastAsia="仿宋" w:cs="仿宋"/>
          <w:b w:val="0"/>
          <w:bCs w:val="0"/>
          <w:spacing w:val="0"/>
          <w:highlight w:val="none"/>
          <w:lang w:val="en-US" w:eastAsia="zh-CN"/>
        </w:rPr>
        <w:t>根据2024年初预算批复文件及财政追加或调整预算等文件、2024年1-12月预算可执行情况表及2024年部门决算表。根据《部门整体支出绩效自评打分表》的评分说明本项指标权重6分、得分6分。本单位2024年“办公费、印刷费、水费、电费、物业管理费、维修（护）费、培训费、会议费”8个科目支出如下：</w:t>
      </w:r>
    </w:p>
    <w:tbl>
      <w:tblPr>
        <w:tblStyle w:val="17"/>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520"/>
        <w:gridCol w:w="1372"/>
        <w:gridCol w:w="1468"/>
        <w:gridCol w:w="1750"/>
      </w:tblGrid>
      <w:tr w14:paraId="01A1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85" w:type="dxa"/>
            <w:gridSpan w:val="5"/>
            <w:noWrap w:val="0"/>
            <w:vAlign w:val="center"/>
          </w:tcPr>
          <w:p w14:paraId="6951446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r>
              <w:rPr>
                <w:rFonts w:hint="eastAsia" w:ascii="Times New Roman" w:hAnsi="Times New Roman" w:eastAsia="仿宋" w:cs="宋体"/>
                <w:bCs/>
                <w:color w:val="auto"/>
                <w:kern w:val="0"/>
                <w:sz w:val="28"/>
                <w:szCs w:val="28"/>
                <w:lang w:val="en-US" w:eastAsia="zh-CN" w:bidi="ar-SA"/>
              </w:rPr>
              <w:t>“办公费、印刷费、水费、电费、物业管理费、维修（护）费、培训费、会议费”8个科目</w:t>
            </w:r>
          </w:p>
        </w:tc>
      </w:tr>
      <w:tr w14:paraId="6731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575" w:type="dxa"/>
            <w:noWrap/>
            <w:vAlign w:val="center"/>
          </w:tcPr>
          <w:p w14:paraId="01D6441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8个科目</w:t>
            </w:r>
          </w:p>
        </w:tc>
        <w:tc>
          <w:tcPr>
            <w:tcW w:w="1520" w:type="dxa"/>
            <w:noWrap/>
            <w:vAlign w:val="center"/>
          </w:tcPr>
          <w:p w14:paraId="2F8470B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spacing w:val="-20"/>
                <w:kern w:val="0"/>
                <w:sz w:val="28"/>
                <w:szCs w:val="28"/>
              </w:rPr>
              <w:t>年初预算数</w:t>
            </w:r>
          </w:p>
        </w:tc>
        <w:tc>
          <w:tcPr>
            <w:tcW w:w="1372" w:type="dxa"/>
            <w:noWrap/>
            <w:vAlign w:val="center"/>
          </w:tcPr>
          <w:p w14:paraId="6A9DC07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决算数</w:t>
            </w:r>
          </w:p>
        </w:tc>
        <w:tc>
          <w:tcPr>
            <w:tcW w:w="1468" w:type="dxa"/>
            <w:noWrap/>
            <w:vAlign w:val="center"/>
          </w:tcPr>
          <w:p w14:paraId="5CB522C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偏差程度</w:t>
            </w:r>
          </w:p>
        </w:tc>
        <w:tc>
          <w:tcPr>
            <w:tcW w:w="1750" w:type="dxa"/>
            <w:noWrap/>
            <w:vAlign w:val="center"/>
          </w:tcPr>
          <w:p w14:paraId="38D5372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spacing w:val="-20"/>
                <w:kern w:val="0"/>
                <w:sz w:val="28"/>
                <w:szCs w:val="28"/>
              </w:rPr>
              <w:t>偏差原因</w:t>
            </w:r>
          </w:p>
        </w:tc>
      </w:tr>
      <w:tr w14:paraId="6CAC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575" w:type="dxa"/>
            <w:noWrap/>
            <w:vAlign w:val="center"/>
          </w:tcPr>
          <w:p w14:paraId="0766CFA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办公费</w:t>
            </w:r>
          </w:p>
        </w:tc>
        <w:tc>
          <w:tcPr>
            <w:tcW w:w="1520" w:type="dxa"/>
            <w:noWrap/>
            <w:vAlign w:val="center"/>
          </w:tcPr>
          <w:p w14:paraId="5C5D70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03EB2FF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32348F4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18BCF8B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　</w:t>
            </w:r>
          </w:p>
        </w:tc>
      </w:tr>
      <w:tr w14:paraId="1462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575" w:type="dxa"/>
            <w:noWrap/>
            <w:vAlign w:val="center"/>
          </w:tcPr>
          <w:p w14:paraId="6B15B65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印刷费</w:t>
            </w:r>
          </w:p>
        </w:tc>
        <w:tc>
          <w:tcPr>
            <w:tcW w:w="1520" w:type="dxa"/>
            <w:noWrap/>
            <w:vAlign w:val="center"/>
          </w:tcPr>
          <w:p w14:paraId="25420AA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1B955C8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2FC1B42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2EA0C26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　</w:t>
            </w:r>
          </w:p>
        </w:tc>
      </w:tr>
      <w:tr w14:paraId="0C2C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575" w:type="dxa"/>
            <w:noWrap/>
            <w:vAlign w:val="center"/>
          </w:tcPr>
          <w:p w14:paraId="78B8BE0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水费</w:t>
            </w:r>
          </w:p>
        </w:tc>
        <w:tc>
          <w:tcPr>
            <w:tcW w:w="1520" w:type="dxa"/>
            <w:noWrap/>
            <w:vAlign w:val="center"/>
          </w:tcPr>
          <w:p w14:paraId="4B17404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7880866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5AD00F1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1DCDC2F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p>
        </w:tc>
      </w:tr>
      <w:tr w14:paraId="0DA6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575" w:type="dxa"/>
            <w:noWrap/>
            <w:vAlign w:val="center"/>
          </w:tcPr>
          <w:p w14:paraId="0B37C77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电费</w:t>
            </w:r>
          </w:p>
        </w:tc>
        <w:tc>
          <w:tcPr>
            <w:tcW w:w="1520" w:type="dxa"/>
            <w:noWrap/>
            <w:vAlign w:val="center"/>
          </w:tcPr>
          <w:p w14:paraId="3C2834A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6CF514D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77F19BD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0F6388F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p>
        </w:tc>
      </w:tr>
      <w:tr w14:paraId="3DE4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575" w:type="dxa"/>
            <w:noWrap/>
            <w:vAlign w:val="center"/>
          </w:tcPr>
          <w:p w14:paraId="527F68E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物业管理费</w:t>
            </w:r>
          </w:p>
        </w:tc>
        <w:tc>
          <w:tcPr>
            <w:tcW w:w="1520" w:type="dxa"/>
            <w:noWrap/>
            <w:vAlign w:val="center"/>
          </w:tcPr>
          <w:p w14:paraId="4BB5041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0864AEF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1E3FC87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43D8FAA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p>
        </w:tc>
      </w:tr>
      <w:tr w14:paraId="7973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575" w:type="dxa"/>
            <w:noWrap/>
            <w:vAlign w:val="center"/>
          </w:tcPr>
          <w:p w14:paraId="62C39B2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维修（护）费</w:t>
            </w:r>
          </w:p>
        </w:tc>
        <w:tc>
          <w:tcPr>
            <w:tcW w:w="1520" w:type="dxa"/>
            <w:noWrap/>
            <w:vAlign w:val="center"/>
          </w:tcPr>
          <w:p w14:paraId="211ED5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301227A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4DE35CA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153FAB7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p>
        </w:tc>
      </w:tr>
      <w:tr w14:paraId="35F2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75" w:type="dxa"/>
            <w:noWrap/>
            <w:vAlign w:val="center"/>
          </w:tcPr>
          <w:p w14:paraId="28634B5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培训费</w:t>
            </w:r>
          </w:p>
        </w:tc>
        <w:tc>
          <w:tcPr>
            <w:tcW w:w="1520" w:type="dxa"/>
            <w:noWrap/>
            <w:vAlign w:val="center"/>
          </w:tcPr>
          <w:p w14:paraId="08448EC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7C80772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47CBFA7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1563DCC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p>
        </w:tc>
      </w:tr>
      <w:tr w14:paraId="4640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575" w:type="dxa"/>
            <w:noWrap/>
            <w:vAlign w:val="center"/>
          </w:tcPr>
          <w:p w14:paraId="3989E12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会议费</w:t>
            </w:r>
          </w:p>
        </w:tc>
        <w:tc>
          <w:tcPr>
            <w:tcW w:w="1520" w:type="dxa"/>
            <w:noWrap/>
            <w:vAlign w:val="center"/>
          </w:tcPr>
          <w:p w14:paraId="25E2CD2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372" w:type="dxa"/>
            <w:noWrap/>
            <w:vAlign w:val="center"/>
          </w:tcPr>
          <w:p w14:paraId="0369941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68" w:type="dxa"/>
            <w:noWrap/>
            <w:vAlign w:val="center"/>
          </w:tcPr>
          <w:p w14:paraId="591402A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750" w:type="dxa"/>
            <w:noWrap/>
            <w:vAlign w:val="center"/>
          </w:tcPr>
          <w:p w14:paraId="503CAFA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rPr>
            </w:pPr>
          </w:p>
        </w:tc>
      </w:tr>
    </w:tbl>
    <w:p w14:paraId="74854C98">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highlight w:val="yellow"/>
          <w:lang w:val="en-US" w:eastAsia="zh-CN"/>
        </w:rPr>
      </w:pPr>
    </w:p>
    <w:p w14:paraId="1590E2C3">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bCs/>
          <w:spacing w:val="0"/>
          <w:highlight w:val="none"/>
          <w:lang w:val="zh-CN" w:eastAsia="zh-CN"/>
        </w:rPr>
      </w:pPr>
      <w:r>
        <w:rPr>
          <w:rFonts w:hint="eastAsia" w:ascii="仿宋" w:hAnsi="仿宋" w:eastAsia="仿宋" w:cs="仿宋"/>
          <w:b/>
          <w:bCs/>
          <w:spacing w:val="0"/>
          <w:highlight w:val="none"/>
          <w:lang w:val="zh-CN" w:eastAsia="zh-CN"/>
        </w:rPr>
        <w:t>3.</w:t>
      </w:r>
      <w:r>
        <w:rPr>
          <w:rFonts w:hint="default" w:ascii="仿宋" w:hAnsi="仿宋" w:eastAsia="仿宋" w:cs="仿宋"/>
          <w:b/>
          <w:bCs/>
          <w:spacing w:val="0"/>
          <w:highlight w:val="none"/>
          <w:lang w:val="zh-CN" w:eastAsia="zh-CN"/>
        </w:rPr>
        <w:t>资产管理</w:t>
      </w:r>
      <w:r>
        <w:rPr>
          <w:rFonts w:hint="eastAsia" w:ascii="仿宋" w:hAnsi="仿宋" w:eastAsia="仿宋" w:cs="仿宋"/>
          <w:b/>
          <w:bCs/>
          <w:spacing w:val="0"/>
          <w:highlight w:val="none"/>
          <w:lang w:val="zh-CN" w:eastAsia="zh-CN"/>
        </w:rPr>
        <w:t>。</w:t>
      </w:r>
    </w:p>
    <w:p w14:paraId="2E92FCD8">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（1）人均资产变化率</w:t>
      </w:r>
    </w:p>
    <w:p w14:paraId="32207CF3">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根据2024年部门决算报表、部门预算报表及部门行政事业性国有资产报表资料，本部门部门人均资产变化率32.6%（其中2024年行政事业单位人均占有资产58.74万元/人员、2023年行政事业单位人均占有资产44.3万元/人员）。根据《部门整体支出绩效自评打分表》的评分说明本项指标权重3分、得分0分。具体详见下表（仅供参考）：</w:t>
      </w:r>
    </w:p>
    <w:tbl>
      <w:tblPr>
        <w:tblStyle w:val="17"/>
        <w:tblpPr w:leftFromText="180" w:rightFromText="180" w:vertAnchor="text" w:horzAnchor="page" w:tblpX="1402" w:tblpY="67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945"/>
        <w:gridCol w:w="1170"/>
        <w:gridCol w:w="1080"/>
        <w:gridCol w:w="1200"/>
        <w:gridCol w:w="570"/>
        <w:gridCol w:w="780"/>
        <w:gridCol w:w="615"/>
        <w:gridCol w:w="465"/>
        <w:gridCol w:w="1185"/>
        <w:gridCol w:w="540"/>
      </w:tblGrid>
      <w:tr w14:paraId="194BF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7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813C86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单位</w:t>
            </w:r>
          </w:p>
        </w:tc>
        <w:tc>
          <w:tcPr>
            <w:tcW w:w="945" w:type="dxa"/>
            <w:vMerge w:val="restart"/>
            <w:tcBorders>
              <w:top w:val="single" w:color="000000" w:sz="8" w:space="0"/>
              <w:left w:val="nil"/>
              <w:bottom w:val="single" w:color="000000" w:sz="8" w:space="0"/>
              <w:right w:val="single" w:color="000000" w:sz="8" w:space="0"/>
            </w:tcBorders>
            <w:shd w:val="clear" w:color="auto" w:fill="auto"/>
            <w:vAlign w:val="center"/>
          </w:tcPr>
          <w:p w14:paraId="436C623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年份</w:t>
            </w:r>
          </w:p>
        </w:tc>
        <w:tc>
          <w:tcPr>
            <w:tcW w:w="1170" w:type="dxa"/>
            <w:vMerge w:val="restart"/>
            <w:tcBorders>
              <w:top w:val="single" w:color="000000" w:sz="8" w:space="0"/>
              <w:left w:val="nil"/>
              <w:bottom w:val="single" w:color="000000" w:sz="8" w:space="0"/>
              <w:right w:val="single" w:color="000000" w:sz="8" w:space="0"/>
            </w:tcBorders>
            <w:shd w:val="clear" w:color="auto" w:fill="auto"/>
            <w:vAlign w:val="center"/>
          </w:tcPr>
          <w:p w14:paraId="1C4D350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固定资产净值</w:t>
            </w:r>
          </w:p>
        </w:tc>
        <w:tc>
          <w:tcPr>
            <w:tcW w:w="1080" w:type="dxa"/>
            <w:vMerge w:val="restart"/>
            <w:tcBorders>
              <w:top w:val="single" w:color="000000" w:sz="8" w:space="0"/>
              <w:left w:val="nil"/>
              <w:bottom w:val="single" w:color="000000" w:sz="8" w:space="0"/>
              <w:right w:val="single" w:color="000000" w:sz="8" w:space="0"/>
            </w:tcBorders>
            <w:shd w:val="clear" w:color="auto" w:fill="auto"/>
            <w:vAlign w:val="center"/>
          </w:tcPr>
          <w:p w14:paraId="0C22586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无形资产净值</w:t>
            </w:r>
          </w:p>
        </w:tc>
        <w:tc>
          <w:tcPr>
            <w:tcW w:w="1200" w:type="dxa"/>
            <w:vMerge w:val="restart"/>
            <w:tcBorders>
              <w:top w:val="single" w:color="000000" w:sz="8" w:space="0"/>
              <w:left w:val="nil"/>
              <w:bottom w:val="single" w:color="000000" w:sz="8" w:space="0"/>
              <w:right w:val="single" w:color="000000" w:sz="8" w:space="0"/>
            </w:tcBorders>
            <w:shd w:val="clear" w:color="auto" w:fill="auto"/>
            <w:vAlign w:val="center"/>
          </w:tcPr>
          <w:p w14:paraId="6AD93BA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总资产</w:t>
            </w:r>
          </w:p>
        </w:tc>
        <w:tc>
          <w:tcPr>
            <w:tcW w:w="570" w:type="dxa"/>
            <w:vMerge w:val="restart"/>
            <w:tcBorders>
              <w:top w:val="single" w:color="000000" w:sz="8" w:space="0"/>
              <w:left w:val="nil"/>
              <w:bottom w:val="single" w:color="000000" w:sz="8" w:space="0"/>
              <w:right w:val="single" w:color="000000" w:sz="8" w:space="0"/>
            </w:tcBorders>
            <w:shd w:val="clear" w:color="auto" w:fill="auto"/>
            <w:vAlign w:val="center"/>
          </w:tcPr>
          <w:p w14:paraId="6A91C6A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编制内实有人数</w:t>
            </w:r>
          </w:p>
        </w:tc>
        <w:tc>
          <w:tcPr>
            <w:tcW w:w="780" w:type="dxa"/>
            <w:vMerge w:val="restart"/>
            <w:tcBorders>
              <w:top w:val="single" w:color="000000" w:sz="8" w:space="0"/>
              <w:left w:val="nil"/>
              <w:bottom w:val="single" w:color="000000" w:sz="8" w:space="0"/>
              <w:right w:val="single" w:color="000000" w:sz="8" w:space="0"/>
            </w:tcBorders>
            <w:shd w:val="clear" w:color="auto" w:fill="auto"/>
            <w:vAlign w:val="center"/>
          </w:tcPr>
          <w:p w14:paraId="7ED8391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人均资产</w:t>
            </w:r>
          </w:p>
        </w:tc>
        <w:tc>
          <w:tcPr>
            <w:tcW w:w="615" w:type="dxa"/>
            <w:vMerge w:val="restart"/>
            <w:tcBorders>
              <w:top w:val="single" w:color="000000" w:sz="8" w:space="0"/>
              <w:left w:val="nil"/>
              <w:bottom w:val="single" w:color="000000" w:sz="8" w:space="0"/>
              <w:right w:val="single" w:color="000000" w:sz="8" w:space="0"/>
            </w:tcBorders>
            <w:shd w:val="clear" w:color="auto" w:fill="auto"/>
            <w:vAlign w:val="center"/>
          </w:tcPr>
          <w:p w14:paraId="769D7A1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人均资产变化率</w:t>
            </w:r>
          </w:p>
        </w:tc>
        <w:tc>
          <w:tcPr>
            <w:tcW w:w="465" w:type="dxa"/>
            <w:vMerge w:val="restart"/>
            <w:tcBorders>
              <w:top w:val="single" w:color="000000" w:sz="8" w:space="0"/>
              <w:left w:val="nil"/>
              <w:bottom w:val="single" w:color="000000" w:sz="8" w:space="0"/>
              <w:right w:val="single" w:color="000000" w:sz="8" w:space="0"/>
            </w:tcBorders>
            <w:shd w:val="clear" w:color="auto" w:fill="auto"/>
            <w:vAlign w:val="center"/>
          </w:tcPr>
          <w:p w14:paraId="4736533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人均资产增长率</w:t>
            </w:r>
          </w:p>
        </w:tc>
        <w:tc>
          <w:tcPr>
            <w:tcW w:w="1185" w:type="dxa"/>
            <w:vMerge w:val="restart"/>
            <w:tcBorders>
              <w:top w:val="single" w:color="000000" w:sz="8" w:space="0"/>
              <w:left w:val="nil"/>
              <w:bottom w:val="single" w:color="000000" w:sz="8" w:space="0"/>
              <w:right w:val="single" w:color="000000" w:sz="8" w:space="0"/>
            </w:tcBorders>
            <w:shd w:val="clear" w:color="auto" w:fill="auto"/>
            <w:vAlign w:val="center"/>
          </w:tcPr>
          <w:p w14:paraId="7B235DD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县级财政收入</w:t>
            </w:r>
          </w:p>
        </w:tc>
        <w:tc>
          <w:tcPr>
            <w:tcW w:w="540" w:type="dxa"/>
            <w:vMerge w:val="restart"/>
            <w:tcBorders>
              <w:top w:val="single" w:color="000000" w:sz="8" w:space="0"/>
              <w:left w:val="nil"/>
              <w:bottom w:val="single" w:color="000000" w:sz="8" w:space="0"/>
              <w:right w:val="single" w:color="000000" w:sz="8" w:space="0"/>
            </w:tcBorders>
            <w:shd w:val="clear" w:color="auto" w:fill="auto"/>
            <w:vAlign w:val="center"/>
          </w:tcPr>
          <w:p w14:paraId="1FAE0C9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
                <w:bCs w:val="0"/>
                <w:color w:val="auto"/>
                <w:kern w:val="0"/>
                <w:sz w:val="24"/>
                <w:szCs w:val="24"/>
                <w:lang w:val="en-US" w:eastAsia="zh-CN" w:bidi="ar-SA"/>
              </w:rPr>
            </w:pPr>
            <w:r>
              <w:rPr>
                <w:rFonts w:hint="eastAsia" w:ascii="Times New Roman" w:hAnsi="Times New Roman" w:eastAsia="仿宋" w:cs="宋体"/>
                <w:b/>
                <w:bCs w:val="0"/>
                <w:color w:val="auto"/>
                <w:kern w:val="0"/>
                <w:sz w:val="24"/>
                <w:szCs w:val="24"/>
                <w:lang w:val="en-US" w:eastAsia="zh-CN" w:bidi="ar-SA"/>
              </w:rPr>
              <w:t>县级财政收入增长率</w:t>
            </w:r>
          </w:p>
        </w:tc>
      </w:tr>
      <w:tr w14:paraId="6AD85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67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923D4E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945" w:type="dxa"/>
            <w:vMerge w:val="continue"/>
            <w:tcBorders>
              <w:top w:val="single" w:color="000000" w:sz="8" w:space="0"/>
              <w:left w:val="nil"/>
              <w:bottom w:val="single" w:color="000000" w:sz="8" w:space="0"/>
              <w:right w:val="single" w:color="000000" w:sz="8" w:space="0"/>
            </w:tcBorders>
            <w:shd w:val="clear" w:color="auto" w:fill="auto"/>
            <w:vAlign w:val="center"/>
          </w:tcPr>
          <w:p w14:paraId="3550C27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1170" w:type="dxa"/>
            <w:vMerge w:val="continue"/>
            <w:tcBorders>
              <w:top w:val="single" w:color="000000" w:sz="8" w:space="0"/>
              <w:left w:val="nil"/>
              <w:bottom w:val="single" w:color="000000" w:sz="8" w:space="0"/>
              <w:right w:val="single" w:color="000000" w:sz="8" w:space="0"/>
            </w:tcBorders>
            <w:shd w:val="clear" w:color="auto" w:fill="auto"/>
            <w:vAlign w:val="center"/>
          </w:tcPr>
          <w:p w14:paraId="69DC94B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1080" w:type="dxa"/>
            <w:vMerge w:val="continue"/>
            <w:tcBorders>
              <w:top w:val="single" w:color="000000" w:sz="8" w:space="0"/>
              <w:left w:val="nil"/>
              <w:bottom w:val="single" w:color="000000" w:sz="8" w:space="0"/>
              <w:right w:val="single" w:color="000000" w:sz="8" w:space="0"/>
            </w:tcBorders>
            <w:shd w:val="clear" w:color="auto" w:fill="auto"/>
            <w:vAlign w:val="center"/>
          </w:tcPr>
          <w:p w14:paraId="1DEE676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1200" w:type="dxa"/>
            <w:vMerge w:val="continue"/>
            <w:tcBorders>
              <w:top w:val="single" w:color="000000" w:sz="8" w:space="0"/>
              <w:left w:val="nil"/>
              <w:bottom w:val="single" w:color="000000" w:sz="8" w:space="0"/>
              <w:right w:val="single" w:color="000000" w:sz="8" w:space="0"/>
            </w:tcBorders>
            <w:shd w:val="clear" w:color="auto" w:fill="auto"/>
            <w:vAlign w:val="center"/>
          </w:tcPr>
          <w:p w14:paraId="2089DDE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570" w:type="dxa"/>
            <w:vMerge w:val="continue"/>
            <w:tcBorders>
              <w:top w:val="single" w:color="000000" w:sz="8" w:space="0"/>
              <w:left w:val="nil"/>
              <w:bottom w:val="single" w:color="000000" w:sz="8" w:space="0"/>
              <w:right w:val="single" w:color="000000" w:sz="8" w:space="0"/>
            </w:tcBorders>
            <w:shd w:val="clear" w:color="auto" w:fill="auto"/>
            <w:vAlign w:val="center"/>
          </w:tcPr>
          <w:p w14:paraId="0F1C40E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780" w:type="dxa"/>
            <w:vMerge w:val="continue"/>
            <w:tcBorders>
              <w:top w:val="single" w:color="000000" w:sz="8" w:space="0"/>
              <w:left w:val="nil"/>
              <w:bottom w:val="single" w:color="000000" w:sz="8" w:space="0"/>
              <w:right w:val="single" w:color="000000" w:sz="8" w:space="0"/>
            </w:tcBorders>
            <w:shd w:val="clear" w:color="auto" w:fill="auto"/>
            <w:vAlign w:val="center"/>
          </w:tcPr>
          <w:p w14:paraId="3AF03BE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615" w:type="dxa"/>
            <w:vMerge w:val="continue"/>
            <w:tcBorders>
              <w:top w:val="single" w:color="000000" w:sz="8" w:space="0"/>
              <w:left w:val="nil"/>
              <w:bottom w:val="single" w:color="000000" w:sz="8" w:space="0"/>
              <w:right w:val="single" w:color="000000" w:sz="8" w:space="0"/>
            </w:tcBorders>
            <w:shd w:val="clear" w:color="auto" w:fill="auto"/>
            <w:vAlign w:val="center"/>
          </w:tcPr>
          <w:p w14:paraId="106ABE4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465" w:type="dxa"/>
            <w:vMerge w:val="continue"/>
            <w:tcBorders>
              <w:top w:val="single" w:color="000000" w:sz="8" w:space="0"/>
              <w:left w:val="nil"/>
              <w:bottom w:val="single" w:color="000000" w:sz="8" w:space="0"/>
              <w:right w:val="single" w:color="000000" w:sz="8" w:space="0"/>
            </w:tcBorders>
            <w:shd w:val="clear" w:color="auto" w:fill="auto"/>
            <w:vAlign w:val="center"/>
          </w:tcPr>
          <w:p w14:paraId="09CB325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1185" w:type="dxa"/>
            <w:vMerge w:val="continue"/>
            <w:tcBorders>
              <w:top w:val="single" w:color="000000" w:sz="8" w:space="0"/>
              <w:left w:val="nil"/>
              <w:bottom w:val="single" w:color="000000" w:sz="8" w:space="0"/>
              <w:right w:val="single" w:color="000000" w:sz="8" w:space="0"/>
            </w:tcBorders>
            <w:shd w:val="clear" w:color="auto" w:fill="auto"/>
            <w:vAlign w:val="center"/>
          </w:tcPr>
          <w:p w14:paraId="186AB44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c>
          <w:tcPr>
            <w:tcW w:w="540" w:type="dxa"/>
            <w:vMerge w:val="continue"/>
            <w:tcBorders>
              <w:top w:val="single" w:color="000000" w:sz="8" w:space="0"/>
              <w:left w:val="nil"/>
              <w:bottom w:val="single" w:color="000000" w:sz="8" w:space="0"/>
              <w:right w:val="single" w:color="000000" w:sz="8" w:space="0"/>
            </w:tcBorders>
            <w:shd w:val="clear" w:color="auto" w:fill="auto"/>
            <w:vAlign w:val="center"/>
          </w:tcPr>
          <w:p w14:paraId="16B9BD4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p>
        </w:tc>
      </w:tr>
      <w:tr w14:paraId="7052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7" w:hRule="atLeast"/>
        </w:trPr>
        <w:tc>
          <w:tcPr>
            <w:tcW w:w="675" w:type="dxa"/>
            <w:vMerge w:val="restart"/>
            <w:tcBorders>
              <w:top w:val="nil"/>
              <w:left w:val="single" w:color="000000" w:sz="8" w:space="0"/>
              <w:bottom w:val="single" w:color="000000" w:sz="8" w:space="0"/>
              <w:right w:val="single" w:color="000000" w:sz="8" w:space="0"/>
            </w:tcBorders>
            <w:shd w:val="clear" w:color="auto" w:fill="auto"/>
            <w:noWrap/>
            <w:vAlign w:val="center"/>
          </w:tcPr>
          <w:p w14:paraId="015B9A7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4"/>
                <w:szCs w:val="24"/>
                <w:lang w:val="en-US" w:eastAsia="zh-CN" w:bidi="ar-SA"/>
              </w:rPr>
              <w:t>遂宁市职业技术学校</w:t>
            </w:r>
          </w:p>
        </w:tc>
        <w:tc>
          <w:tcPr>
            <w:tcW w:w="945" w:type="dxa"/>
            <w:tcBorders>
              <w:top w:val="nil"/>
              <w:left w:val="nil"/>
              <w:bottom w:val="single" w:color="000000" w:sz="8" w:space="0"/>
              <w:right w:val="single" w:color="000000" w:sz="8" w:space="0"/>
            </w:tcBorders>
            <w:shd w:val="clear" w:color="auto" w:fill="auto"/>
            <w:noWrap/>
            <w:vAlign w:val="center"/>
          </w:tcPr>
          <w:p w14:paraId="3F8A489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2023年</w:t>
            </w:r>
          </w:p>
        </w:tc>
        <w:tc>
          <w:tcPr>
            <w:tcW w:w="1170" w:type="dxa"/>
            <w:tcBorders>
              <w:top w:val="nil"/>
              <w:left w:val="nil"/>
              <w:bottom w:val="single" w:color="000000" w:sz="8" w:space="0"/>
              <w:right w:val="single" w:color="000000" w:sz="8" w:space="0"/>
            </w:tcBorders>
            <w:shd w:val="clear" w:color="auto" w:fill="auto"/>
            <w:noWrap/>
            <w:vAlign w:val="center"/>
          </w:tcPr>
          <w:p w14:paraId="6E488EB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8,454.05</w:t>
            </w:r>
          </w:p>
        </w:tc>
        <w:tc>
          <w:tcPr>
            <w:tcW w:w="1080" w:type="dxa"/>
            <w:tcBorders>
              <w:top w:val="nil"/>
              <w:left w:val="nil"/>
              <w:bottom w:val="single" w:color="000000" w:sz="8" w:space="0"/>
              <w:right w:val="single" w:color="000000" w:sz="8" w:space="0"/>
            </w:tcBorders>
            <w:shd w:val="clear" w:color="auto" w:fill="auto"/>
            <w:noWrap/>
            <w:vAlign w:val="center"/>
          </w:tcPr>
          <w:p w14:paraId="552C32C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937.81</w:t>
            </w:r>
          </w:p>
        </w:tc>
        <w:tc>
          <w:tcPr>
            <w:tcW w:w="1200" w:type="dxa"/>
            <w:tcBorders>
              <w:top w:val="nil"/>
              <w:left w:val="nil"/>
              <w:bottom w:val="single" w:color="000000" w:sz="8" w:space="0"/>
              <w:right w:val="single" w:color="000000" w:sz="8" w:space="0"/>
            </w:tcBorders>
            <w:shd w:val="clear" w:color="auto" w:fill="auto"/>
            <w:noWrap/>
            <w:vAlign w:val="center"/>
          </w:tcPr>
          <w:p w14:paraId="15438FF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12,064.29</w:t>
            </w:r>
          </w:p>
        </w:tc>
        <w:tc>
          <w:tcPr>
            <w:tcW w:w="570" w:type="dxa"/>
            <w:tcBorders>
              <w:top w:val="nil"/>
              <w:left w:val="nil"/>
              <w:bottom w:val="single" w:color="000000" w:sz="8" w:space="0"/>
              <w:right w:val="single" w:color="000000" w:sz="8" w:space="0"/>
            </w:tcBorders>
            <w:shd w:val="clear" w:color="auto" w:fill="auto"/>
            <w:noWrap/>
            <w:vAlign w:val="center"/>
          </w:tcPr>
          <w:p w14:paraId="0E41A24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212</w:t>
            </w:r>
          </w:p>
        </w:tc>
        <w:tc>
          <w:tcPr>
            <w:tcW w:w="780" w:type="dxa"/>
            <w:tcBorders>
              <w:top w:val="nil"/>
              <w:left w:val="nil"/>
              <w:bottom w:val="single" w:color="000000" w:sz="8" w:space="0"/>
              <w:right w:val="single" w:color="000000" w:sz="8" w:space="0"/>
            </w:tcBorders>
            <w:shd w:val="clear" w:color="auto" w:fill="auto"/>
            <w:noWrap/>
            <w:vAlign w:val="center"/>
          </w:tcPr>
          <w:p w14:paraId="5A318E3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 xml:space="preserve">44.30 </w:t>
            </w:r>
          </w:p>
        </w:tc>
        <w:tc>
          <w:tcPr>
            <w:tcW w:w="615" w:type="dxa"/>
            <w:vMerge w:val="restart"/>
            <w:tcBorders>
              <w:top w:val="nil"/>
              <w:left w:val="nil"/>
              <w:bottom w:val="single" w:color="000000" w:sz="8" w:space="0"/>
              <w:right w:val="single" w:color="000000" w:sz="8" w:space="0"/>
            </w:tcBorders>
            <w:shd w:val="clear" w:color="auto" w:fill="auto"/>
            <w:noWrap/>
            <w:vAlign w:val="center"/>
          </w:tcPr>
          <w:p w14:paraId="0BEB519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32.60%</w:t>
            </w:r>
          </w:p>
        </w:tc>
        <w:tc>
          <w:tcPr>
            <w:tcW w:w="465" w:type="dxa"/>
            <w:tcBorders>
              <w:top w:val="nil"/>
              <w:left w:val="nil"/>
              <w:bottom w:val="single" w:color="000000" w:sz="8" w:space="0"/>
              <w:right w:val="single" w:color="000000" w:sz="8" w:space="0"/>
            </w:tcBorders>
            <w:shd w:val="clear" w:color="auto" w:fill="auto"/>
            <w:noWrap/>
            <w:vAlign w:val="center"/>
          </w:tcPr>
          <w:p w14:paraId="0225A87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w:t>
            </w:r>
          </w:p>
        </w:tc>
        <w:tc>
          <w:tcPr>
            <w:tcW w:w="1185" w:type="dxa"/>
            <w:tcBorders>
              <w:top w:val="nil"/>
              <w:left w:val="nil"/>
              <w:bottom w:val="single" w:color="000000" w:sz="8" w:space="0"/>
              <w:right w:val="single" w:color="000000" w:sz="8" w:space="0"/>
            </w:tcBorders>
            <w:shd w:val="clear" w:color="auto" w:fill="auto"/>
            <w:noWrap/>
            <w:vAlign w:val="center"/>
          </w:tcPr>
          <w:p w14:paraId="5C2C8D7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6,725.48</w:t>
            </w:r>
          </w:p>
        </w:tc>
        <w:tc>
          <w:tcPr>
            <w:tcW w:w="540" w:type="dxa"/>
            <w:vMerge w:val="restart"/>
            <w:tcBorders>
              <w:top w:val="nil"/>
              <w:left w:val="nil"/>
              <w:bottom w:val="single" w:color="000000" w:sz="8" w:space="0"/>
              <w:right w:val="single" w:color="000000" w:sz="8" w:space="0"/>
            </w:tcBorders>
            <w:shd w:val="clear" w:color="auto" w:fill="auto"/>
            <w:noWrap/>
            <w:vAlign w:val="center"/>
          </w:tcPr>
          <w:p w14:paraId="08B4E6B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宋体"/>
                <w:bCs/>
                <w:color w:val="auto"/>
                <w:kern w:val="0"/>
                <w:sz w:val="28"/>
                <w:szCs w:val="28"/>
                <w:lang w:val="en-US" w:eastAsia="zh-CN" w:bidi="ar-SA"/>
              </w:rPr>
            </w:pPr>
            <w:r>
              <w:rPr>
                <w:rFonts w:hint="eastAsia" w:ascii="仿宋" w:hAnsi="仿宋" w:eastAsia="仿宋" w:cs="仿宋"/>
                <w:b w:val="0"/>
                <w:bCs/>
                <w:color w:val="auto"/>
                <w:kern w:val="0"/>
                <w:sz w:val="21"/>
                <w:szCs w:val="21"/>
                <w:lang w:val="en-US" w:eastAsia="zh-CN"/>
              </w:rPr>
              <w:t>20.99%</w:t>
            </w:r>
          </w:p>
        </w:tc>
      </w:tr>
      <w:tr w14:paraId="4B80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75"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07FCB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i w:val="0"/>
                <w:iCs w:val="0"/>
                <w:color w:val="000000"/>
                <w:sz w:val="22"/>
                <w:szCs w:val="22"/>
                <w:u w:val="none"/>
              </w:rPr>
            </w:pPr>
          </w:p>
        </w:tc>
        <w:tc>
          <w:tcPr>
            <w:tcW w:w="945" w:type="dxa"/>
            <w:tcBorders>
              <w:top w:val="nil"/>
              <w:left w:val="nil"/>
              <w:bottom w:val="single" w:color="000000" w:sz="8" w:space="0"/>
              <w:right w:val="single" w:color="000000" w:sz="8" w:space="0"/>
            </w:tcBorders>
            <w:shd w:val="clear" w:color="auto" w:fill="auto"/>
            <w:noWrap/>
            <w:vAlign w:val="center"/>
          </w:tcPr>
          <w:p w14:paraId="70158D0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2024年</w:t>
            </w:r>
          </w:p>
        </w:tc>
        <w:tc>
          <w:tcPr>
            <w:tcW w:w="1170" w:type="dxa"/>
            <w:tcBorders>
              <w:top w:val="nil"/>
              <w:left w:val="nil"/>
              <w:bottom w:val="single" w:color="000000" w:sz="8" w:space="0"/>
              <w:right w:val="single" w:color="000000" w:sz="8" w:space="0"/>
            </w:tcBorders>
            <w:shd w:val="clear" w:color="auto" w:fill="auto"/>
            <w:noWrap/>
            <w:vAlign w:val="center"/>
          </w:tcPr>
          <w:p w14:paraId="5F28972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11,193.17</w:t>
            </w:r>
          </w:p>
        </w:tc>
        <w:tc>
          <w:tcPr>
            <w:tcW w:w="1080" w:type="dxa"/>
            <w:tcBorders>
              <w:top w:val="nil"/>
              <w:left w:val="nil"/>
              <w:bottom w:val="single" w:color="000000" w:sz="8" w:space="0"/>
              <w:right w:val="single" w:color="000000" w:sz="8" w:space="0"/>
            </w:tcBorders>
            <w:shd w:val="clear" w:color="auto" w:fill="auto"/>
            <w:noWrap/>
            <w:vAlign w:val="center"/>
          </w:tcPr>
          <w:p w14:paraId="32AB923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2,200.32</w:t>
            </w:r>
          </w:p>
        </w:tc>
        <w:tc>
          <w:tcPr>
            <w:tcW w:w="1200" w:type="dxa"/>
            <w:tcBorders>
              <w:top w:val="nil"/>
              <w:left w:val="nil"/>
              <w:bottom w:val="single" w:color="000000" w:sz="8" w:space="0"/>
              <w:right w:val="single" w:color="000000" w:sz="8" w:space="0"/>
            </w:tcBorders>
            <w:shd w:val="clear" w:color="auto" w:fill="auto"/>
            <w:noWrap/>
            <w:vAlign w:val="center"/>
          </w:tcPr>
          <w:p w14:paraId="1D9E28E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13,936.25</w:t>
            </w:r>
          </w:p>
        </w:tc>
        <w:tc>
          <w:tcPr>
            <w:tcW w:w="570" w:type="dxa"/>
            <w:tcBorders>
              <w:top w:val="nil"/>
              <w:left w:val="nil"/>
              <w:bottom w:val="single" w:color="000000" w:sz="8" w:space="0"/>
              <w:right w:val="single" w:color="000000" w:sz="8" w:space="0"/>
            </w:tcBorders>
            <w:shd w:val="clear" w:color="auto" w:fill="auto"/>
            <w:noWrap/>
            <w:vAlign w:val="center"/>
          </w:tcPr>
          <w:p w14:paraId="603EADC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228</w:t>
            </w:r>
          </w:p>
        </w:tc>
        <w:tc>
          <w:tcPr>
            <w:tcW w:w="780" w:type="dxa"/>
            <w:tcBorders>
              <w:top w:val="nil"/>
              <w:left w:val="nil"/>
              <w:bottom w:val="single" w:color="000000" w:sz="8" w:space="0"/>
              <w:right w:val="single" w:color="000000" w:sz="8" w:space="0"/>
            </w:tcBorders>
            <w:shd w:val="clear" w:color="auto" w:fill="auto"/>
            <w:noWrap/>
            <w:vAlign w:val="center"/>
          </w:tcPr>
          <w:p w14:paraId="14B739A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 xml:space="preserve">58.74 </w:t>
            </w:r>
          </w:p>
        </w:tc>
        <w:tc>
          <w:tcPr>
            <w:tcW w:w="615" w:type="dxa"/>
            <w:vMerge w:val="continue"/>
            <w:tcBorders>
              <w:top w:val="nil"/>
              <w:left w:val="nil"/>
              <w:bottom w:val="single" w:color="000000" w:sz="8" w:space="0"/>
              <w:right w:val="single" w:color="000000" w:sz="8" w:space="0"/>
            </w:tcBorders>
            <w:shd w:val="clear" w:color="auto" w:fill="auto"/>
            <w:noWrap/>
            <w:vAlign w:val="center"/>
          </w:tcPr>
          <w:p w14:paraId="5A29863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p>
        </w:tc>
        <w:tc>
          <w:tcPr>
            <w:tcW w:w="465" w:type="dxa"/>
            <w:tcBorders>
              <w:top w:val="nil"/>
              <w:left w:val="nil"/>
              <w:bottom w:val="single" w:color="000000" w:sz="8" w:space="0"/>
              <w:right w:val="single" w:color="000000" w:sz="8" w:space="0"/>
            </w:tcBorders>
            <w:shd w:val="clear" w:color="auto" w:fill="auto"/>
            <w:noWrap/>
            <w:vAlign w:val="center"/>
          </w:tcPr>
          <w:p w14:paraId="3D6426C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w:t>
            </w:r>
          </w:p>
        </w:tc>
        <w:tc>
          <w:tcPr>
            <w:tcW w:w="1185" w:type="dxa"/>
            <w:tcBorders>
              <w:top w:val="nil"/>
              <w:left w:val="nil"/>
              <w:bottom w:val="single" w:color="000000" w:sz="8" w:space="0"/>
              <w:right w:val="single" w:color="000000" w:sz="8" w:space="0"/>
            </w:tcBorders>
            <w:shd w:val="clear" w:color="auto" w:fill="auto"/>
            <w:noWrap/>
            <w:vAlign w:val="center"/>
          </w:tcPr>
          <w:p w14:paraId="3878F53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1"/>
                <w:szCs w:val="21"/>
                <w:lang w:val="en-US" w:eastAsia="zh-CN"/>
              </w:rPr>
            </w:pPr>
            <w:r>
              <w:rPr>
                <w:rFonts w:hint="eastAsia" w:ascii="仿宋" w:hAnsi="仿宋" w:eastAsia="仿宋" w:cs="仿宋"/>
                <w:b w:val="0"/>
                <w:bCs/>
                <w:color w:val="auto"/>
                <w:kern w:val="0"/>
                <w:sz w:val="21"/>
                <w:szCs w:val="21"/>
                <w:lang w:val="en-US" w:eastAsia="zh-CN"/>
              </w:rPr>
              <w:t>8,137.11</w:t>
            </w:r>
          </w:p>
        </w:tc>
        <w:tc>
          <w:tcPr>
            <w:tcW w:w="540" w:type="dxa"/>
            <w:vMerge w:val="continue"/>
            <w:tcBorders>
              <w:top w:val="nil"/>
              <w:left w:val="nil"/>
              <w:bottom w:val="single" w:color="000000" w:sz="8" w:space="0"/>
              <w:right w:val="single" w:color="000000" w:sz="8" w:space="0"/>
            </w:tcBorders>
            <w:shd w:val="clear" w:color="auto" w:fill="auto"/>
            <w:noWrap/>
            <w:vAlign w:val="center"/>
          </w:tcPr>
          <w:p w14:paraId="2ED42DF6">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i w:val="0"/>
                <w:iCs w:val="0"/>
                <w:color w:val="000000"/>
                <w:sz w:val="22"/>
                <w:szCs w:val="22"/>
                <w:u w:val="none"/>
              </w:rPr>
            </w:pPr>
          </w:p>
        </w:tc>
      </w:tr>
    </w:tbl>
    <w:p w14:paraId="4A4B6DC4">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（2）资产利用率</w:t>
      </w:r>
    </w:p>
    <w:p w14:paraId="2DBD3704">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根据遂宁市职业技术学校截至2024年12月31日固定资产卡片明细数据，超最低使用年限的办公家具资产利用率为34.49%；超最低使用年限的办公设备资产利用率为68.04%。。根据《部门整体支出绩效自评打分表》的评分说明本项指标权重3分、得分1.03分。</w:t>
      </w:r>
    </w:p>
    <w:tbl>
      <w:tblPr>
        <w:tblStyle w:val="17"/>
        <w:tblW w:w="0" w:type="auto"/>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28"/>
        <w:gridCol w:w="3578"/>
        <w:gridCol w:w="1955"/>
        <w:gridCol w:w="1097"/>
      </w:tblGrid>
      <w:tr w14:paraId="1D65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AB1C">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p>
        </w:tc>
        <w:tc>
          <w:tcPr>
            <w:tcW w:w="3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338A">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超最低使用年限的办公家具</w:t>
            </w:r>
          </w:p>
          <w:p w14:paraId="35161F71">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账面原值</w:t>
            </w:r>
          </w:p>
        </w:tc>
        <w:tc>
          <w:tcPr>
            <w:tcW w:w="1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A494">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办公家具</w:t>
            </w:r>
          </w:p>
          <w:p w14:paraId="6AD300E8">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账面原值</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87F2">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资产</w:t>
            </w:r>
          </w:p>
          <w:p w14:paraId="1633CACB">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利用率</w:t>
            </w:r>
          </w:p>
        </w:tc>
      </w:tr>
      <w:tr w14:paraId="263D6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4203">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遂宁市职业技术学校</w:t>
            </w:r>
          </w:p>
        </w:tc>
        <w:tc>
          <w:tcPr>
            <w:tcW w:w="3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D841">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156.99</w:t>
            </w:r>
          </w:p>
        </w:tc>
        <w:tc>
          <w:tcPr>
            <w:tcW w:w="1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1112C">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682.71</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A027">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34.49%</w:t>
            </w:r>
          </w:p>
        </w:tc>
      </w:tr>
      <w:tr w14:paraId="31B4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228" w:type="dxa"/>
            <w:tcBorders>
              <w:top w:val="nil"/>
              <w:left w:val="nil"/>
              <w:bottom w:val="nil"/>
              <w:right w:val="nil"/>
            </w:tcBorders>
            <w:shd w:val="clear" w:color="auto" w:fill="auto"/>
            <w:noWrap/>
            <w:vAlign w:val="center"/>
          </w:tcPr>
          <w:p w14:paraId="229CF64C">
            <w:pPr>
              <w:pageBreakBefore w:val="0"/>
              <w:kinsoku/>
              <w:wordWrap/>
              <w:overflowPunct/>
              <w:topLinePunct w:val="0"/>
              <w:autoSpaceDE/>
              <w:autoSpaceDN/>
              <w:bidi w:val="0"/>
              <w:snapToGrid w:val="0"/>
              <w:spacing w:line="360" w:lineRule="auto"/>
              <w:jc w:val="left"/>
              <w:rPr>
                <w:rFonts w:hint="eastAsia" w:ascii="宋体" w:hAnsi="宋体" w:eastAsia="宋体" w:cs="宋体"/>
                <w:i w:val="0"/>
                <w:iCs w:val="0"/>
                <w:color w:val="000000"/>
                <w:sz w:val="22"/>
                <w:szCs w:val="22"/>
                <w:highlight w:val="none"/>
                <w:u w:val="none"/>
              </w:rPr>
            </w:pPr>
          </w:p>
        </w:tc>
        <w:tc>
          <w:tcPr>
            <w:tcW w:w="3578" w:type="dxa"/>
            <w:tcBorders>
              <w:top w:val="nil"/>
              <w:left w:val="nil"/>
              <w:bottom w:val="nil"/>
              <w:right w:val="nil"/>
            </w:tcBorders>
            <w:shd w:val="clear" w:color="auto" w:fill="auto"/>
            <w:noWrap/>
            <w:vAlign w:val="center"/>
          </w:tcPr>
          <w:p w14:paraId="06C9CDDE">
            <w:pPr>
              <w:pageBreakBefore w:val="0"/>
              <w:kinsoku/>
              <w:wordWrap/>
              <w:overflowPunct/>
              <w:topLinePunct w:val="0"/>
              <w:autoSpaceDE/>
              <w:autoSpaceDN/>
              <w:bidi w:val="0"/>
              <w:snapToGrid w:val="0"/>
              <w:spacing w:line="360" w:lineRule="auto"/>
              <w:jc w:val="left"/>
              <w:rPr>
                <w:rFonts w:hint="eastAsia" w:ascii="宋体" w:hAnsi="宋体" w:eastAsia="宋体" w:cs="宋体"/>
                <w:i w:val="0"/>
                <w:iCs w:val="0"/>
                <w:color w:val="000000"/>
                <w:sz w:val="22"/>
                <w:szCs w:val="22"/>
                <w:highlight w:val="none"/>
                <w:u w:val="none"/>
              </w:rPr>
            </w:pPr>
          </w:p>
        </w:tc>
        <w:tc>
          <w:tcPr>
            <w:tcW w:w="1955" w:type="dxa"/>
            <w:tcBorders>
              <w:top w:val="nil"/>
              <w:left w:val="nil"/>
              <w:bottom w:val="nil"/>
              <w:right w:val="nil"/>
            </w:tcBorders>
            <w:shd w:val="clear" w:color="auto" w:fill="auto"/>
            <w:noWrap/>
            <w:vAlign w:val="center"/>
          </w:tcPr>
          <w:p w14:paraId="06E86AF4">
            <w:pPr>
              <w:pageBreakBefore w:val="0"/>
              <w:kinsoku/>
              <w:wordWrap/>
              <w:overflowPunct/>
              <w:topLinePunct w:val="0"/>
              <w:autoSpaceDE/>
              <w:autoSpaceDN/>
              <w:bidi w:val="0"/>
              <w:snapToGrid w:val="0"/>
              <w:spacing w:line="360" w:lineRule="auto"/>
              <w:jc w:val="left"/>
              <w:rPr>
                <w:rFonts w:hint="eastAsia" w:ascii="宋体" w:hAnsi="宋体" w:eastAsia="宋体" w:cs="宋体"/>
                <w:i w:val="0"/>
                <w:iCs w:val="0"/>
                <w:color w:val="000000"/>
                <w:sz w:val="22"/>
                <w:szCs w:val="22"/>
                <w:highlight w:val="none"/>
                <w:u w:val="none"/>
              </w:rPr>
            </w:pPr>
          </w:p>
        </w:tc>
        <w:tc>
          <w:tcPr>
            <w:tcW w:w="1097" w:type="dxa"/>
            <w:tcBorders>
              <w:top w:val="nil"/>
              <w:left w:val="nil"/>
              <w:bottom w:val="nil"/>
              <w:right w:val="nil"/>
            </w:tcBorders>
            <w:shd w:val="clear" w:color="auto" w:fill="auto"/>
            <w:noWrap/>
            <w:vAlign w:val="center"/>
          </w:tcPr>
          <w:p w14:paraId="175CCFB9">
            <w:pPr>
              <w:pageBreakBefore w:val="0"/>
              <w:kinsoku/>
              <w:wordWrap/>
              <w:overflowPunct/>
              <w:topLinePunct w:val="0"/>
              <w:autoSpaceDE/>
              <w:autoSpaceDN/>
              <w:bidi w:val="0"/>
              <w:snapToGrid w:val="0"/>
              <w:spacing w:line="360" w:lineRule="auto"/>
              <w:jc w:val="left"/>
              <w:rPr>
                <w:rFonts w:hint="eastAsia" w:ascii="宋体" w:hAnsi="宋体" w:eastAsia="宋体" w:cs="宋体"/>
                <w:i w:val="0"/>
                <w:iCs w:val="0"/>
                <w:color w:val="000000"/>
                <w:sz w:val="22"/>
                <w:szCs w:val="22"/>
                <w:highlight w:val="none"/>
                <w:u w:val="none"/>
              </w:rPr>
            </w:pPr>
          </w:p>
        </w:tc>
      </w:tr>
      <w:tr w14:paraId="60D03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F136">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p>
        </w:tc>
        <w:tc>
          <w:tcPr>
            <w:tcW w:w="3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9E3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超最低使用年限的办公设备账面原值</w:t>
            </w:r>
          </w:p>
        </w:tc>
        <w:tc>
          <w:tcPr>
            <w:tcW w:w="1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D25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办公家具账面原值</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574E">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
                <w:bCs w:val="0"/>
                <w:color w:val="auto"/>
                <w:kern w:val="0"/>
                <w:sz w:val="28"/>
                <w:szCs w:val="28"/>
                <w:lang w:val="en-US" w:eastAsia="zh-CN" w:bidi="ar-SA"/>
              </w:rPr>
            </w:pPr>
            <w:r>
              <w:rPr>
                <w:rFonts w:hint="eastAsia" w:ascii="Times New Roman" w:hAnsi="Times New Roman" w:eastAsia="仿宋" w:cs="宋体"/>
                <w:b/>
                <w:bCs w:val="0"/>
                <w:color w:val="auto"/>
                <w:kern w:val="0"/>
                <w:sz w:val="28"/>
                <w:szCs w:val="28"/>
                <w:lang w:val="en-US" w:eastAsia="zh-CN" w:bidi="ar-SA"/>
              </w:rPr>
              <w:t>资产利用率</w:t>
            </w:r>
          </w:p>
        </w:tc>
      </w:tr>
      <w:tr w14:paraId="6DE7A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CF3A">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遂宁市职业技术学校</w:t>
            </w:r>
          </w:p>
        </w:tc>
        <w:tc>
          <w:tcPr>
            <w:tcW w:w="3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C59D">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2199.62</w:t>
            </w:r>
          </w:p>
        </w:tc>
        <w:tc>
          <w:tcPr>
            <w:tcW w:w="1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A823">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4849.31</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E172">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68.04%</w:t>
            </w:r>
          </w:p>
        </w:tc>
      </w:tr>
    </w:tbl>
    <w:p w14:paraId="32F4CA34">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（3）资产盘活率</w:t>
      </w:r>
    </w:p>
    <w:p w14:paraId="41FF4FB1">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根据遂宁市职业技术学校截至2024年12月31日固定资产卡片明细数据，并结合现场勘察情况。2024年</w:t>
      </w:r>
      <w:r>
        <w:rPr>
          <w:rFonts w:hint="eastAsia" w:ascii="仿宋" w:hAnsi="仿宋" w:eastAsia="仿宋" w:cs="仿宋"/>
          <w:b w:val="0"/>
          <w:bCs w:val="0"/>
          <w:spacing w:val="0"/>
          <w:highlight w:val="none"/>
          <w:lang w:val="zh-CN" w:eastAsia="zh-CN"/>
        </w:rPr>
        <w:t>部门闲置资产占比变化率</w:t>
      </w:r>
      <w:r>
        <w:rPr>
          <w:rFonts w:hint="eastAsia" w:ascii="仿宋" w:hAnsi="仿宋" w:eastAsia="仿宋" w:cs="仿宋"/>
          <w:b w:val="0"/>
          <w:bCs w:val="0"/>
          <w:spacing w:val="0"/>
          <w:highlight w:val="none"/>
          <w:lang w:val="en-US" w:eastAsia="zh-CN"/>
        </w:rPr>
        <w:t>0%，根据《部门整体支出绩效自评打分表》的评分说明本项指标权重3分、得分3分。详细情况如下：</w:t>
      </w:r>
    </w:p>
    <w:p w14:paraId="4CD16ADD">
      <w:pPr>
        <w:pStyle w:val="2"/>
        <w:pageBreakBefore w:val="0"/>
        <w:kinsoku/>
        <w:wordWrap/>
        <w:overflowPunct/>
        <w:topLinePunct w:val="0"/>
        <w:autoSpaceDE/>
        <w:autoSpaceDN/>
        <w:bidi w:val="0"/>
        <w:snapToGrid w:val="0"/>
        <w:spacing w:line="360" w:lineRule="auto"/>
        <w:rPr>
          <w:rFonts w:hint="eastAsia"/>
          <w:highlight w:val="none"/>
          <w:lang w:val="en-US" w:eastAsia="zh-CN"/>
        </w:rPr>
      </w:pPr>
    </w:p>
    <w:p w14:paraId="1F702863">
      <w:pPr>
        <w:pageBreakBefore w:val="0"/>
        <w:kinsoku/>
        <w:wordWrap/>
        <w:overflowPunct/>
        <w:topLinePunct w:val="0"/>
        <w:autoSpaceDE/>
        <w:autoSpaceDN/>
        <w:bidi w:val="0"/>
        <w:snapToGrid w:val="0"/>
        <w:spacing w:line="360" w:lineRule="auto"/>
        <w:rPr>
          <w:rFonts w:hint="eastAsia"/>
          <w:highlight w:val="none"/>
          <w:lang w:val="en-US" w:eastAsia="zh-CN"/>
        </w:rPr>
      </w:pPr>
    </w:p>
    <w:p w14:paraId="2AFF73C4">
      <w:pPr>
        <w:pStyle w:val="2"/>
        <w:pageBreakBefore w:val="0"/>
        <w:kinsoku/>
        <w:wordWrap/>
        <w:overflowPunct/>
        <w:topLinePunct w:val="0"/>
        <w:autoSpaceDE/>
        <w:autoSpaceDN/>
        <w:bidi w:val="0"/>
        <w:snapToGrid w:val="0"/>
        <w:spacing w:line="360" w:lineRule="auto"/>
        <w:rPr>
          <w:rFonts w:hint="eastAsia"/>
          <w:lang w:val="en-US" w:eastAsia="zh-CN"/>
        </w:rPr>
      </w:pPr>
    </w:p>
    <w:tbl>
      <w:tblPr>
        <w:tblStyle w:val="17"/>
        <w:tblW w:w="0" w:type="auto"/>
        <w:tblInd w:w="-5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1"/>
        <w:gridCol w:w="2345"/>
        <w:gridCol w:w="2399"/>
        <w:gridCol w:w="2936"/>
      </w:tblGrid>
      <w:tr w14:paraId="36294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E90B">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年份</w:t>
            </w:r>
          </w:p>
        </w:tc>
        <w:tc>
          <w:tcPr>
            <w:tcW w:w="2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68EF">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闲置资产账面价值</w:t>
            </w:r>
          </w:p>
        </w:tc>
        <w:tc>
          <w:tcPr>
            <w:tcW w:w="2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1C2F">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总资产账面价值</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137B">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资产盘活率</w:t>
            </w:r>
          </w:p>
        </w:tc>
      </w:tr>
      <w:tr w14:paraId="026E3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B6A1">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2023年</w:t>
            </w:r>
          </w:p>
        </w:tc>
        <w:tc>
          <w:tcPr>
            <w:tcW w:w="234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43F755">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23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EF3E4F">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12064.29</w:t>
            </w:r>
          </w:p>
        </w:tc>
        <w:tc>
          <w:tcPr>
            <w:tcW w:w="29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3C315F">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r>
      <w:tr w14:paraId="318FE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09E5">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2024年</w:t>
            </w:r>
          </w:p>
        </w:tc>
        <w:tc>
          <w:tcPr>
            <w:tcW w:w="234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257CAC">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23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F22925">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13936.25</w:t>
            </w:r>
          </w:p>
        </w:tc>
        <w:tc>
          <w:tcPr>
            <w:tcW w:w="29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06C5D0">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r>
    </w:tbl>
    <w:p w14:paraId="292618CC">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bCs/>
          <w:spacing w:val="0"/>
          <w:highlight w:val="none"/>
          <w:lang w:val="zh-CN" w:eastAsia="zh-CN"/>
        </w:rPr>
      </w:pPr>
      <w:r>
        <w:rPr>
          <w:rFonts w:hint="eastAsia" w:ascii="仿宋" w:hAnsi="仿宋" w:eastAsia="仿宋" w:cs="仿宋"/>
          <w:b/>
          <w:bCs/>
          <w:spacing w:val="0"/>
          <w:highlight w:val="none"/>
          <w:lang w:val="zh-CN" w:eastAsia="zh-CN"/>
        </w:rPr>
        <w:t>4.</w:t>
      </w:r>
      <w:r>
        <w:rPr>
          <w:rFonts w:hint="default" w:ascii="仿宋" w:hAnsi="仿宋" w:eastAsia="仿宋" w:cs="仿宋"/>
          <w:b/>
          <w:bCs/>
          <w:spacing w:val="0"/>
          <w:highlight w:val="none"/>
          <w:lang w:val="zh-CN" w:eastAsia="zh-CN"/>
        </w:rPr>
        <w:t>采购管理</w:t>
      </w:r>
      <w:r>
        <w:rPr>
          <w:rFonts w:hint="eastAsia" w:ascii="仿宋" w:hAnsi="仿宋" w:eastAsia="仿宋" w:cs="仿宋"/>
          <w:b/>
          <w:bCs/>
          <w:spacing w:val="0"/>
          <w:highlight w:val="none"/>
          <w:lang w:val="zh-CN" w:eastAsia="zh-CN"/>
        </w:rPr>
        <w:t>。</w:t>
      </w:r>
    </w:p>
    <w:p w14:paraId="27F05541">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（1）支持中小企业发展</w:t>
      </w:r>
    </w:p>
    <w:p w14:paraId="2CEAB0A1">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2024年市职校未预留项目面向中小企业采购金额，根据《部门整体支出绩效自评打分表》的评分说明本项指标权重3分、得分0分。</w:t>
      </w:r>
    </w:p>
    <w:p w14:paraId="306BB616">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采购执行率</w:t>
      </w:r>
    </w:p>
    <w:p w14:paraId="1472419D">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根据《部门整体支出绩效自评打分表》的评分说明本项指标权重3分、得分3分。本部门2024年采购执行率100%。具体如下：</w:t>
      </w:r>
    </w:p>
    <w:tbl>
      <w:tblPr>
        <w:tblStyle w:val="1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46"/>
        <w:gridCol w:w="975"/>
        <w:gridCol w:w="1410"/>
        <w:gridCol w:w="1230"/>
        <w:gridCol w:w="1410"/>
        <w:gridCol w:w="870"/>
      </w:tblGrid>
      <w:tr w14:paraId="7838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294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35DDF8">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项目名称</w:t>
            </w:r>
          </w:p>
        </w:tc>
        <w:tc>
          <w:tcPr>
            <w:tcW w:w="9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FF15C">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当年政府采购预算数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313E5">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当年已完成合同总额</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E56FFB">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当年已完成采购项目节约金额</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2E6C13">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当年政府采购实际支付总金额</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A9961">
            <w:pPr>
              <w:pStyle w:val="28"/>
              <w:pageBreakBefore w:val="0"/>
              <w:kinsoku/>
              <w:wordWrap/>
              <w:overflowPunct/>
              <w:topLinePunct w:val="0"/>
              <w:autoSpaceDE/>
              <w:autoSpaceDN/>
              <w:bidi w:val="0"/>
              <w:snapToGrid w:val="0"/>
              <w:spacing w:line="36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采购执行率</w:t>
            </w:r>
          </w:p>
        </w:tc>
      </w:tr>
      <w:tr w14:paraId="24D4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294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24D72C">
            <w:pPr>
              <w:pageBreakBefore w:val="0"/>
              <w:widowControl/>
              <w:kinsoku/>
              <w:wordWrap/>
              <w:overflowPunct/>
              <w:topLinePunct w:val="0"/>
              <w:autoSpaceDE/>
              <w:autoSpaceDN/>
              <w:bidi w:val="0"/>
              <w:snapToGrid w:val="0"/>
              <w:spacing w:line="360" w:lineRule="auto"/>
              <w:jc w:val="left"/>
              <w:rPr>
                <w:rFonts w:hint="eastAsia" w:ascii="仿宋" w:hAnsi="仿宋" w:eastAsia="仿宋" w:cs="仿宋"/>
                <w:b w:val="0"/>
                <w:bCs/>
                <w:color w:val="auto"/>
                <w:kern w:val="0"/>
                <w:sz w:val="28"/>
                <w:szCs w:val="28"/>
                <w:lang w:val="en-US" w:eastAsia="zh-CN"/>
              </w:rPr>
            </w:pPr>
            <w:r>
              <w:rPr>
                <w:rFonts w:hint="default" w:ascii="仿宋" w:hAnsi="仿宋" w:eastAsia="仿宋" w:cs="仿宋"/>
                <w:b w:val="0"/>
                <w:bCs/>
                <w:color w:val="auto"/>
                <w:kern w:val="0"/>
                <w:sz w:val="28"/>
                <w:szCs w:val="28"/>
                <w:lang w:val="en-US" w:eastAsia="zh-CN"/>
              </w:rPr>
              <w:t>中心机房升级改造</w:t>
            </w:r>
          </w:p>
        </w:tc>
        <w:tc>
          <w:tcPr>
            <w:tcW w:w="9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B27503">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49.77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C969BB">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48.29</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1004D">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1.48</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F67C1">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48.29</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990D69">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100%</w:t>
            </w:r>
          </w:p>
        </w:tc>
      </w:tr>
      <w:tr w14:paraId="69180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294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AF25C">
            <w:pPr>
              <w:pageBreakBefore w:val="0"/>
              <w:widowControl/>
              <w:kinsoku/>
              <w:wordWrap/>
              <w:overflowPunct/>
              <w:topLinePunct w:val="0"/>
              <w:autoSpaceDE/>
              <w:autoSpaceDN/>
              <w:bidi w:val="0"/>
              <w:snapToGrid w:val="0"/>
              <w:spacing w:line="360" w:lineRule="auto"/>
              <w:jc w:val="left"/>
              <w:rPr>
                <w:rFonts w:hint="eastAsia" w:ascii="仿宋" w:hAnsi="仿宋" w:eastAsia="仿宋" w:cs="仿宋"/>
                <w:b w:val="0"/>
                <w:bCs/>
                <w:color w:val="auto"/>
                <w:kern w:val="0"/>
                <w:sz w:val="28"/>
                <w:szCs w:val="28"/>
                <w:lang w:val="en-US" w:eastAsia="zh-CN"/>
              </w:rPr>
            </w:pPr>
            <w:r>
              <w:rPr>
                <w:rFonts w:hint="default" w:ascii="仿宋" w:hAnsi="仿宋" w:eastAsia="仿宋" w:cs="仿宋"/>
                <w:b w:val="0"/>
                <w:bCs/>
                <w:color w:val="auto"/>
                <w:kern w:val="0"/>
                <w:sz w:val="28"/>
                <w:szCs w:val="28"/>
                <w:lang w:val="en-US" w:eastAsia="zh-CN"/>
              </w:rPr>
              <w:t>办公设备采购项目</w:t>
            </w:r>
          </w:p>
        </w:tc>
        <w:tc>
          <w:tcPr>
            <w:tcW w:w="9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E640E">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1.45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D0192">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1.45</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80A9B2">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3DED7">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1.45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1217C">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100%</w:t>
            </w:r>
          </w:p>
        </w:tc>
      </w:tr>
      <w:tr w14:paraId="603A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B567">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default" w:ascii="仿宋" w:hAnsi="仿宋" w:eastAsia="仿宋" w:cs="仿宋"/>
                <w:b w:val="0"/>
                <w:bCs/>
                <w:color w:val="auto"/>
                <w:kern w:val="0"/>
                <w:sz w:val="28"/>
                <w:szCs w:val="28"/>
                <w:lang w:val="en-US" w:eastAsia="zh-CN"/>
              </w:rPr>
              <w:t>网络安全监测运营与服务项目</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FE70">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47.28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762C">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46.82</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A266">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0.46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B2D4">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46.82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05A7">
            <w:pPr>
              <w:pageBreakBefore w:val="0"/>
              <w:widowControl/>
              <w:kinsoku/>
              <w:wordWrap/>
              <w:overflowPunct/>
              <w:topLinePunct w:val="0"/>
              <w:autoSpaceDE/>
              <w:autoSpaceDN/>
              <w:bidi w:val="0"/>
              <w:snapToGrid w:val="0"/>
              <w:spacing w:line="360" w:lineRule="auto"/>
              <w:jc w:val="center"/>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100%</w:t>
            </w:r>
          </w:p>
        </w:tc>
      </w:tr>
      <w:tr w14:paraId="58C1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9D61">
            <w:pPr>
              <w:pageBreakBefore w:val="0"/>
              <w:widowControl/>
              <w:kinsoku/>
              <w:wordWrap/>
              <w:overflowPunct/>
              <w:topLinePunct w:val="0"/>
              <w:autoSpaceDE/>
              <w:autoSpaceDN/>
              <w:bidi w:val="0"/>
              <w:snapToGrid w:val="0"/>
              <w:spacing w:line="360" w:lineRule="auto"/>
              <w:jc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仿宋" w:hAnsi="仿宋" w:eastAsia="仿宋" w:cs="仿宋"/>
                <w:b w:val="0"/>
                <w:bCs/>
                <w:color w:val="auto"/>
                <w:kern w:val="0"/>
                <w:sz w:val="28"/>
                <w:szCs w:val="28"/>
                <w:lang w:val="en-US" w:eastAsia="zh-CN"/>
              </w:rPr>
              <w:t>合计</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BC34">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98.50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A0B6">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96.56</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694C">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1.94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E5BD">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96.56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6C36">
            <w:pPr>
              <w:pageBreakBefore w:val="0"/>
              <w:widowControl/>
              <w:kinsoku/>
              <w:wordWrap/>
              <w:overflowPunct/>
              <w:topLinePunct w:val="0"/>
              <w:autoSpaceDE/>
              <w:autoSpaceDN/>
              <w:bidi w:val="0"/>
              <w:snapToGrid w:val="0"/>
              <w:spacing w:line="360" w:lineRule="auto"/>
              <w:jc w:val="center"/>
              <w:rPr>
                <w:rFonts w:hint="default"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100%</w:t>
            </w:r>
          </w:p>
        </w:tc>
      </w:tr>
    </w:tbl>
    <w:p w14:paraId="178C4BE3">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bCs/>
          <w:spacing w:val="0"/>
          <w:highlight w:val="none"/>
          <w:lang w:val="en-US" w:eastAsia="zh-CN"/>
        </w:rPr>
      </w:pPr>
      <w:r>
        <w:rPr>
          <w:rFonts w:hint="eastAsia" w:ascii="仿宋" w:hAnsi="仿宋" w:eastAsia="仿宋" w:cs="仿宋"/>
          <w:b/>
          <w:bCs/>
          <w:spacing w:val="0"/>
          <w:highlight w:val="none"/>
          <w:lang w:val="zh-CN" w:eastAsia="zh-CN"/>
        </w:rPr>
        <w:t>5.</w:t>
      </w:r>
      <w:r>
        <w:rPr>
          <w:rFonts w:hint="default" w:ascii="仿宋" w:hAnsi="仿宋" w:eastAsia="仿宋" w:cs="仿宋"/>
          <w:b/>
          <w:bCs/>
          <w:spacing w:val="0"/>
          <w:highlight w:val="none"/>
          <w:lang w:val="zh-CN" w:eastAsia="zh-CN"/>
        </w:rPr>
        <w:t>财务管理</w:t>
      </w:r>
    </w:p>
    <w:p w14:paraId="5E71786B">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default"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（1）财务管理制度建设情况：本单位制定了财务管理制度、资产管理制度、专项资金管理制度、经费报销管理制度。财务机构按照严格执行有关制度。不涉及扣分。</w:t>
      </w:r>
    </w:p>
    <w:p w14:paraId="1BC295E7">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（2）财务岗位设置情况：本单位设置财务会计、出纳、保管、采购、审核等财务工作岗位。各岗位严格按照单位的制度执行工作。本单位严格实行不相容岗位分离。不涉及扣分。</w:t>
      </w:r>
    </w:p>
    <w:p w14:paraId="4A0011A8">
      <w:pPr>
        <w:pStyle w:val="5"/>
        <w:pageBreakBefore w:val="0"/>
        <w:kinsoku/>
        <w:wordWrap/>
        <w:overflowPunct/>
        <w:topLinePunct w:val="0"/>
        <w:autoSpaceDE/>
        <w:autoSpaceDN/>
        <w:bidi w:val="0"/>
        <w:adjustRightInd w:val="0"/>
        <w:snapToGrid w:val="0"/>
        <w:spacing w:before="0" w:after="0" w:line="360" w:lineRule="auto"/>
        <w:ind w:firstLine="632" w:firstLineChars="200"/>
        <w:textAlignment w:val="auto"/>
        <w:outlineLvl w:val="9"/>
        <w:rPr>
          <w:rFonts w:hint="eastAsia" w:ascii="仿宋" w:hAnsi="仿宋" w:eastAsia="仿宋" w:cs="仿宋"/>
          <w:b w:val="0"/>
          <w:bCs w:val="0"/>
          <w:spacing w:val="0"/>
          <w:highlight w:val="none"/>
          <w:lang w:val="en-US" w:eastAsia="zh-CN"/>
        </w:rPr>
      </w:pPr>
      <w:r>
        <w:rPr>
          <w:rFonts w:hint="eastAsia" w:ascii="仿宋" w:hAnsi="仿宋" w:eastAsia="仿宋" w:cs="仿宋"/>
          <w:b w:val="0"/>
          <w:bCs w:val="0"/>
          <w:spacing w:val="0"/>
          <w:highlight w:val="none"/>
          <w:lang w:val="en-US" w:eastAsia="zh-CN"/>
        </w:rPr>
        <w:t>（3）</w:t>
      </w:r>
      <w:r>
        <w:rPr>
          <w:rFonts w:hint="default" w:ascii="仿宋" w:hAnsi="仿宋" w:eastAsia="仿宋" w:cs="仿宋"/>
          <w:b w:val="0"/>
          <w:bCs w:val="0"/>
          <w:spacing w:val="0"/>
          <w:highlight w:val="none"/>
          <w:lang w:val="en-US" w:eastAsia="zh-CN"/>
        </w:rPr>
        <w:t>资金使用规范</w:t>
      </w:r>
      <w:r>
        <w:rPr>
          <w:rFonts w:hint="eastAsia" w:ascii="仿宋" w:hAnsi="仿宋" w:eastAsia="仿宋" w:cs="仿宋"/>
          <w:b w:val="0"/>
          <w:bCs w:val="0"/>
          <w:spacing w:val="0"/>
          <w:highlight w:val="none"/>
          <w:lang w:val="en-US" w:eastAsia="zh-CN"/>
        </w:rPr>
        <w:t>情况：本单位严格按照财政相关的规章制度遵守财经纪律，规范使用各项资金。专项资金使用符合相关财务管理制度规定的（专项资金管理办法）。不涉及扣分。</w:t>
      </w:r>
    </w:p>
    <w:p w14:paraId="52CFB0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32" w:firstLineChars="200"/>
        <w:contextualSpacing/>
        <w:jc w:val="both"/>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28FA836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32" w:firstLineChars="200"/>
        <w:jc w:val="both"/>
        <w:textAlignment w:val="auto"/>
        <w:rPr>
          <w:rFonts w:hint="default" w:ascii="仿宋" w:hAnsi="仿宋" w:eastAsia="仿宋" w:cs="仿宋"/>
          <w:b w:val="0"/>
          <w:bCs w:val="0"/>
          <w:spacing w:val="0"/>
          <w:kern w:val="2"/>
          <w:sz w:val="32"/>
          <w:szCs w:val="32"/>
          <w:highlight w:val="none"/>
          <w:lang w:val="zh-CN" w:eastAsia="zh-CN" w:bidi="ar-SA"/>
        </w:rPr>
      </w:pPr>
      <w:r>
        <w:rPr>
          <w:rFonts w:hint="eastAsia" w:ascii="仿宋" w:hAnsi="仿宋" w:eastAsia="仿宋" w:cs="仿宋"/>
          <w:b w:val="0"/>
          <w:bCs w:val="0"/>
          <w:spacing w:val="0"/>
          <w:kern w:val="2"/>
          <w:sz w:val="32"/>
          <w:szCs w:val="32"/>
          <w:highlight w:val="none"/>
          <w:lang w:val="en-US" w:eastAsia="zh-CN" w:bidi="ar-SA"/>
        </w:rPr>
        <w:t>2024年</w:t>
      </w:r>
      <w:r>
        <w:rPr>
          <w:rFonts w:hint="default" w:ascii="仿宋" w:hAnsi="仿宋" w:eastAsia="仿宋" w:cs="仿宋"/>
          <w:b w:val="0"/>
          <w:bCs w:val="0"/>
          <w:spacing w:val="0"/>
          <w:kern w:val="2"/>
          <w:sz w:val="32"/>
          <w:szCs w:val="32"/>
          <w:highlight w:val="none"/>
          <w:lang w:val="en-US" w:eastAsia="zh-CN" w:bidi="ar-SA"/>
        </w:rPr>
        <w:t>常年项目绩效分析。</w:t>
      </w:r>
      <w:r>
        <w:rPr>
          <w:rFonts w:hint="default" w:ascii="仿宋" w:hAnsi="仿宋" w:eastAsia="仿宋" w:cs="仿宋"/>
          <w:b w:val="0"/>
          <w:bCs w:val="0"/>
          <w:spacing w:val="0"/>
          <w:kern w:val="2"/>
          <w:sz w:val="32"/>
          <w:szCs w:val="32"/>
          <w:highlight w:val="none"/>
          <w:lang w:val="zh-CN" w:eastAsia="zh-CN" w:bidi="ar-SA"/>
        </w:rPr>
        <w:t>该类项目总数</w:t>
      </w:r>
      <w:r>
        <w:rPr>
          <w:rFonts w:hint="default" w:ascii="仿宋" w:hAnsi="仿宋" w:eastAsia="仿宋" w:cs="仿宋"/>
          <w:b w:val="0"/>
          <w:bCs w:val="0"/>
          <w:spacing w:val="0"/>
          <w:kern w:val="2"/>
          <w:sz w:val="32"/>
          <w:szCs w:val="32"/>
          <w:highlight w:val="none"/>
          <w:lang w:val="en-US" w:eastAsia="zh-CN" w:bidi="ar-SA"/>
        </w:rPr>
        <w:t xml:space="preserve"> </w:t>
      </w:r>
      <w:r>
        <w:rPr>
          <w:rFonts w:hint="eastAsia" w:ascii="仿宋" w:hAnsi="仿宋" w:eastAsia="仿宋" w:cs="仿宋"/>
          <w:b w:val="0"/>
          <w:bCs w:val="0"/>
          <w:spacing w:val="0"/>
          <w:kern w:val="2"/>
          <w:sz w:val="32"/>
          <w:szCs w:val="32"/>
          <w:highlight w:val="none"/>
          <w:lang w:val="en-US" w:eastAsia="zh-CN" w:bidi="ar-SA"/>
        </w:rPr>
        <w:t>5</w:t>
      </w:r>
      <w:r>
        <w:rPr>
          <w:rFonts w:hint="default" w:ascii="仿宋" w:hAnsi="仿宋" w:eastAsia="仿宋" w:cs="仿宋"/>
          <w:b w:val="0"/>
          <w:bCs w:val="0"/>
          <w:spacing w:val="0"/>
          <w:kern w:val="2"/>
          <w:sz w:val="32"/>
          <w:szCs w:val="32"/>
          <w:highlight w:val="none"/>
          <w:lang w:val="zh-CN" w:eastAsia="zh-CN" w:bidi="ar-SA"/>
        </w:rPr>
        <w:t>个，涉及预算总金额</w:t>
      </w:r>
      <w:r>
        <w:rPr>
          <w:rFonts w:hint="eastAsia" w:ascii="仿宋" w:hAnsi="仿宋" w:eastAsia="仿宋" w:cs="仿宋"/>
          <w:b w:val="0"/>
          <w:bCs w:val="0"/>
          <w:spacing w:val="0"/>
          <w:kern w:val="2"/>
          <w:sz w:val="32"/>
          <w:szCs w:val="32"/>
          <w:highlight w:val="none"/>
          <w:lang w:val="en-US" w:eastAsia="zh-CN" w:bidi="ar-SA"/>
        </w:rPr>
        <w:t>5608.90</w:t>
      </w:r>
      <w:r>
        <w:rPr>
          <w:rFonts w:hint="default" w:ascii="仿宋" w:hAnsi="仿宋" w:eastAsia="仿宋" w:cs="仿宋"/>
          <w:b w:val="0"/>
          <w:bCs w:val="0"/>
          <w:spacing w:val="0"/>
          <w:kern w:val="2"/>
          <w:sz w:val="32"/>
          <w:szCs w:val="32"/>
          <w:highlight w:val="none"/>
          <w:lang w:val="zh-CN" w:eastAsia="zh-CN" w:bidi="ar-SA"/>
        </w:rPr>
        <w:t>万元，1</w:t>
      </w:r>
      <w:r>
        <w:rPr>
          <w:rFonts w:hint="eastAsia" w:ascii="仿宋" w:hAnsi="仿宋" w:eastAsia="仿宋" w:cs="仿宋"/>
          <w:b w:val="0"/>
          <w:bCs w:val="0"/>
          <w:spacing w:val="0"/>
          <w:kern w:val="2"/>
          <w:sz w:val="32"/>
          <w:szCs w:val="32"/>
          <w:highlight w:val="none"/>
          <w:lang w:val="zh-CN" w:eastAsia="zh-CN" w:bidi="ar-SA"/>
        </w:rPr>
        <w:t>—</w:t>
      </w:r>
      <w:r>
        <w:rPr>
          <w:rFonts w:hint="default" w:ascii="仿宋" w:hAnsi="仿宋" w:eastAsia="仿宋" w:cs="仿宋"/>
          <w:b w:val="0"/>
          <w:bCs w:val="0"/>
          <w:spacing w:val="0"/>
          <w:kern w:val="2"/>
          <w:sz w:val="32"/>
          <w:szCs w:val="32"/>
          <w:highlight w:val="none"/>
          <w:lang w:val="zh-CN" w:eastAsia="zh-CN" w:bidi="ar-SA"/>
        </w:rPr>
        <w:t>1</w:t>
      </w:r>
      <w:r>
        <w:rPr>
          <w:rFonts w:hint="default" w:ascii="仿宋" w:hAnsi="仿宋" w:eastAsia="仿宋" w:cs="仿宋"/>
          <w:b w:val="0"/>
          <w:bCs w:val="0"/>
          <w:spacing w:val="0"/>
          <w:kern w:val="2"/>
          <w:sz w:val="32"/>
          <w:szCs w:val="32"/>
          <w:highlight w:val="none"/>
          <w:lang w:val="en-US" w:eastAsia="zh-CN" w:bidi="ar-SA"/>
        </w:rPr>
        <w:t>2</w:t>
      </w:r>
      <w:r>
        <w:rPr>
          <w:rFonts w:hint="default" w:ascii="仿宋" w:hAnsi="仿宋" w:eastAsia="仿宋" w:cs="仿宋"/>
          <w:b w:val="0"/>
          <w:bCs w:val="0"/>
          <w:spacing w:val="0"/>
          <w:kern w:val="2"/>
          <w:sz w:val="32"/>
          <w:szCs w:val="32"/>
          <w:highlight w:val="none"/>
          <w:lang w:val="zh-CN" w:eastAsia="zh-CN" w:bidi="ar-SA"/>
        </w:rPr>
        <w:t>月预算执行</w:t>
      </w:r>
      <w:r>
        <w:rPr>
          <w:rFonts w:hint="eastAsia" w:ascii="仿宋" w:hAnsi="仿宋" w:eastAsia="仿宋" w:cs="仿宋"/>
          <w:b w:val="0"/>
          <w:bCs w:val="0"/>
          <w:spacing w:val="0"/>
          <w:kern w:val="2"/>
          <w:sz w:val="32"/>
          <w:szCs w:val="32"/>
          <w:highlight w:val="none"/>
          <w:lang w:val="en-US" w:eastAsia="zh-CN" w:bidi="ar-SA"/>
        </w:rPr>
        <w:t>3543.93万元，</w:t>
      </w:r>
      <w:r>
        <w:rPr>
          <w:rFonts w:hint="default" w:ascii="仿宋" w:hAnsi="仿宋" w:eastAsia="仿宋" w:cs="仿宋"/>
          <w:b w:val="0"/>
          <w:bCs w:val="0"/>
          <w:spacing w:val="0"/>
          <w:kern w:val="2"/>
          <w:sz w:val="32"/>
          <w:szCs w:val="32"/>
          <w:highlight w:val="none"/>
          <w:lang w:val="zh-CN" w:eastAsia="zh-CN" w:bidi="ar-SA"/>
        </w:rPr>
        <w:t>总体进度为</w:t>
      </w:r>
      <w:r>
        <w:rPr>
          <w:rFonts w:hint="eastAsia" w:ascii="仿宋" w:hAnsi="仿宋" w:eastAsia="仿宋" w:cs="仿宋"/>
          <w:b w:val="0"/>
          <w:bCs w:val="0"/>
          <w:spacing w:val="0"/>
          <w:kern w:val="2"/>
          <w:sz w:val="32"/>
          <w:szCs w:val="32"/>
          <w:highlight w:val="none"/>
          <w:lang w:val="en-US" w:eastAsia="zh-CN" w:bidi="ar-SA"/>
        </w:rPr>
        <w:t>63.02</w:t>
      </w:r>
      <w:r>
        <w:rPr>
          <w:rFonts w:hint="default" w:ascii="仿宋" w:hAnsi="仿宋" w:eastAsia="仿宋" w:cs="仿宋"/>
          <w:b w:val="0"/>
          <w:bCs w:val="0"/>
          <w:spacing w:val="0"/>
          <w:kern w:val="2"/>
          <w:sz w:val="32"/>
          <w:szCs w:val="32"/>
          <w:highlight w:val="none"/>
          <w:lang w:val="zh-CN" w:eastAsia="zh-CN" w:bidi="ar-SA"/>
        </w:rPr>
        <w:t>%，其中：预算结余率大于</w:t>
      </w:r>
      <w:r>
        <w:rPr>
          <w:rFonts w:hint="default" w:ascii="仿宋" w:hAnsi="仿宋" w:eastAsia="仿宋" w:cs="仿宋"/>
          <w:b w:val="0"/>
          <w:bCs w:val="0"/>
          <w:spacing w:val="0"/>
          <w:kern w:val="2"/>
          <w:sz w:val="32"/>
          <w:szCs w:val="32"/>
          <w:highlight w:val="none"/>
          <w:lang w:val="en-US" w:eastAsia="zh-CN" w:bidi="ar-SA"/>
        </w:rPr>
        <w:t>10%</w:t>
      </w:r>
      <w:r>
        <w:rPr>
          <w:rFonts w:hint="default" w:ascii="仿宋" w:hAnsi="仿宋" w:eastAsia="仿宋" w:cs="仿宋"/>
          <w:b w:val="0"/>
          <w:bCs w:val="0"/>
          <w:spacing w:val="0"/>
          <w:kern w:val="2"/>
          <w:sz w:val="32"/>
          <w:szCs w:val="32"/>
          <w:highlight w:val="none"/>
          <w:lang w:val="zh-CN" w:eastAsia="zh-CN" w:bidi="ar-SA"/>
        </w:rPr>
        <w:t>的项目共计</w:t>
      </w:r>
      <w:r>
        <w:rPr>
          <w:rFonts w:hint="eastAsia" w:ascii="仿宋" w:hAnsi="仿宋" w:eastAsia="仿宋" w:cs="仿宋"/>
          <w:b w:val="0"/>
          <w:bCs w:val="0"/>
          <w:spacing w:val="0"/>
          <w:kern w:val="2"/>
          <w:sz w:val="32"/>
          <w:szCs w:val="32"/>
          <w:highlight w:val="none"/>
          <w:lang w:val="en-US" w:eastAsia="zh-CN" w:bidi="ar-SA"/>
        </w:rPr>
        <w:t>2</w:t>
      </w:r>
      <w:r>
        <w:rPr>
          <w:rFonts w:hint="default" w:ascii="仿宋" w:hAnsi="仿宋" w:eastAsia="仿宋" w:cs="仿宋"/>
          <w:b w:val="0"/>
          <w:bCs w:val="0"/>
          <w:spacing w:val="0"/>
          <w:kern w:val="2"/>
          <w:sz w:val="32"/>
          <w:szCs w:val="32"/>
          <w:highlight w:val="none"/>
          <w:lang w:val="zh-CN" w:eastAsia="zh-CN" w:bidi="ar-SA"/>
        </w:rPr>
        <w:t>个</w:t>
      </w:r>
      <w:r>
        <w:rPr>
          <w:rFonts w:hint="eastAsia" w:ascii="仿宋" w:hAnsi="仿宋" w:eastAsia="仿宋" w:cs="仿宋"/>
          <w:b w:val="0"/>
          <w:bCs w:val="0"/>
          <w:spacing w:val="0"/>
          <w:kern w:val="2"/>
          <w:sz w:val="32"/>
          <w:szCs w:val="32"/>
          <w:highlight w:val="none"/>
          <w:lang w:val="zh-CN" w:eastAsia="zh-CN" w:bidi="ar-SA"/>
        </w:rPr>
        <w:t>，</w:t>
      </w:r>
      <w:r>
        <w:rPr>
          <w:rFonts w:hint="eastAsia" w:ascii="仿宋" w:hAnsi="仿宋" w:eastAsia="仿宋" w:cs="仿宋"/>
          <w:b w:val="0"/>
          <w:bCs w:val="0"/>
          <w:spacing w:val="0"/>
          <w:kern w:val="2"/>
          <w:sz w:val="32"/>
          <w:szCs w:val="32"/>
          <w:highlight w:val="none"/>
          <w:lang w:val="en-US" w:eastAsia="zh-CN" w:bidi="ar-SA"/>
        </w:rPr>
        <w:t>主要是2024年12月财政拨入</w:t>
      </w:r>
      <w:r>
        <w:rPr>
          <w:rFonts w:hint="eastAsia" w:ascii="仿宋" w:hAnsi="仿宋" w:eastAsia="仿宋" w:cs="仿宋"/>
          <w:b w:val="0"/>
          <w:bCs w:val="0"/>
          <w:spacing w:val="0"/>
          <w:kern w:val="2"/>
          <w:sz w:val="32"/>
          <w:szCs w:val="32"/>
          <w:highlight w:val="none"/>
          <w:lang w:val="zh-CN" w:eastAsia="zh-CN" w:bidi="ar-SA"/>
        </w:rPr>
        <w:t>现代职业教育质量提升计划资金</w:t>
      </w:r>
      <w:r>
        <w:rPr>
          <w:rFonts w:hint="eastAsia" w:ascii="仿宋" w:hAnsi="仿宋" w:eastAsia="仿宋" w:cs="仿宋"/>
          <w:b w:val="0"/>
          <w:bCs w:val="0"/>
          <w:spacing w:val="0"/>
          <w:kern w:val="2"/>
          <w:sz w:val="32"/>
          <w:szCs w:val="32"/>
          <w:highlight w:val="none"/>
          <w:lang w:val="en-US" w:eastAsia="zh-CN" w:bidi="ar-SA"/>
        </w:rPr>
        <w:t>600万元，拨入支持中等职业教育发展资金1575万元，学校及时根据上级要求安排2025年使用</w:t>
      </w:r>
      <w:r>
        <w:rPr>
          <w:rFonts w:hint="default" w:ascii="仿宋" w:hAnsi="仿宋" w:eastAsia="仿宋" w:cs="仿宋"/>
          <w:b w:val="0"/>
          <w:bCs w:val="0"/>
          <w:spacing w:val="0"/>
          <w:kern w:val="2"/>
          <w:sz w:val="32"/>
          <w:szCs w:val="32"/>
          <w:highlight w:val="none"/>
          <w:lang w:val="zh-CN" w:eastAsia="zh-CN" w:bidi="ar-SA"/>
        </w:rPr>
        <w:t>。</w:t>
      </w:r>
    </w:p>
    <w:p w14:paraId="0E60E95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32" w:firstLineChars="200"/>
        <w:jc w:val="both"/>
        <w:textAlignment w:val="auto"/>
        <w:rPr>
          <w:rFonts w:hint="default" w:ascii="仿宋" w:hAnsi="仿宋" w:eastAsia="仿宋" w:cs="仿宋"/>
          <w:b w:val="0"/>
          <w:bCs w:val="0"/>
          <w:spacing w:val="0"/>
          <w:kern w:val="2"/>
          <w:sz w:val="32"/>
          <w:szCs w:val="32"/>
          <w:highlight w:val="none"/>
          <w:lang w:val="en-US" w:eastAsia="zh-CN" w:bidi="ar-SA"/>
        </w:rPr>
      </w:pPr>
      <w:r>
        <w:rPr>
          <w:rFonts w:hint="default" w:ascii="仿宋" w:hAnsi="仿宋" w:eastAsia="仿宋" w:cs="仿宋"/>
          <w:b w:val="0"/>
          <w:bCs w:val="0"/>
          <w:spacing w:val="0"/>
          <w:kern w:val="2"/>
          <w:sz w:val="32"/>
          <w:szCs w:val="32"/>
          <w:highlight w:val="none"/>
          <w:lang w:val="en-US" w:eastAsia="zh-CN" w:bidi="ar-SA"/>
        </w:rPr>
        <w:t>阶段性项目绩效分析。</w:t>
      </w:r>
      <w:r>
        <w:rPr>
          <w:rFonts w:hint="default" w:ascii="仿宋" w:hAnsi="仿宋" w:eastAsia="仿宋" w:cs="仿宋"/>
          <w:b w:val="0"/>
          <w:bCs w:val="0"/>
          <w:spacing w:val="0"/>
          <w:kern w:val="2"/>
          <w:sz w:val="32"/>
          <w:szCs w:val="32"/>
          <w:highlight w:val="none"/>
          <w:lang w:val="zh-CN" w:eastAsia="zh-CN" w:bidi="ar-SA"/>
        </w:rPr>
        <w:t>该类项目总数</w:t>
      </w:r>
      <w:r>
        <w:rPr>
          <w:rFonts w:hint="eastAsia" w:ascii="仿宋" w:hAnsi="仿宋" w:eastAsia="仿宋" w:cs="仿宋"/>
          <w:b w:val="0"/>
          <w:bCs w:val="0"/>
          <w:spacing w:val="0"/>
          <w:kern w:val="2"/>
          <w:sz w:val="32"/>
          <w:szCs w:val="32"/>
          <w:highlight w:val="none"/>
          <w:lang w:val="en-US" w:eastAsia="zh-CN" w:bidi="ar-SA"/>
        </w:rPr>
        <w:t>4</w:t>
      </w:r>
      <w:r>
        <w:rPr>
          <w:rFonts w:hint="default" w:ascii="仿宋" w:hAnsi="仿宋" w:eastAsia="仿宋" w:cs="仿宋"/>
          <w:b w:val="0"/>
          <w:bCs w:val="0"/>
          <w:spacing w:val="0"/>
          <w:kern w:val="2"/>
          <w:sz w:val="32"/>
          <w:szCs w:val="32"/>
          <w:highlight w:val="none"/>
          <w:lang w:val="zh-CN" w:eastAsia="zh-CN" w:bidi="ar-SA"/>
        </w:rPr>
        <w:t>个，涉及预算总金额</w:t>
      </w:r>
      <w:r>
        <w:rPr>
          <w:rFonts w:hint="eastAsia" w:ascii="仿宋" w:hAnsi="仿宋" w:eastAsia="仿宋" w:cs="仿宋"/>
          <w:b w:val="0"/>
          <w:bCs w:val="0"/>
          <w:spacing w:val="0"/>
          <w:kern w:val="2"/>
          <w:sz w:val="32"/>
          <w:szCs w:val="32"/>
          <w:highlight w:val="none"/>
          <w:lang w:val="en-US" w:eastAsia="zh-CN" w:bidi="ar-SA"/>
        </w:rPr>
        <w:t>12.36</w:t>
      </w:r>
      <w:r>
        <w:rPr>
          <w:rFonts w:hint="default" w:ascii="仿宋" w:hAnsi="仿宋" w:eastAsia="仿宋" w:cs="仿宋"/>
          <w:b w:val="0"/>
          <w:bCs w:val="0"/>
          <w:spacing w:val="0"/>
          <w:kern w:val="2"/>
          <w:sz w:val="32"/>
          <w:szCs w:val="32"/>
          <w:highlight w:val="none"/>
          <w:lang w:val="zh-CN" w:eastAsia="zh-CN" w:bidi="ar-SA"/>
        </w:rPr>
        <w:t>万元，1</w:t>
      </w:r>
      <w:r>
        <w:rPr>
          <w:rFonts w:hint="eastAsia" w:ascii="仿宋" w:hAnsi="仿宋" w:eastAsia="仿宋" w:cs="仿宋"/>
          <w:b w:val="0"/>
          <w:bCs w:val="0"/>
          <w:spacing w:val="0"/>
          <w:kern w:val="2"/>
          <w:sz w:val="32"/>
          <w:szCs w:val="32"/>
          <w:highlight w:val="none"/>
          <w:lang w:val="zh-CN" w:eastAsia="zh-CN" w:bidi="ar-SA"/>
        </w:rPr>
        <w:t>—</w:t>
      </w:r>
      <w:r>
        <w:rPr>
          <w:rFonts w:hint="default" w:ascii="仿宋" w:hAnsi="仿宋" w:eastAsia="仿宋" w:cs="仿宋"/>
          <w:b w:val="0"/>
          <w:bCs w:val="0"/>
          <w:spacing w:val="0"/>
          <w:kern w:val="2"/>
          <w:sz w:val="32"/>
          <w:szCs w:val="32"/>
          <w:highlight w:val="none"/>
          <w:lang w:val="zh-CN" w:eastAsia="zh-CN" w:bidi="ar-SA"/>
        </w:rPr>
        <w:t>1</w:t>
      </w:r>
      <w:r>
        <w:rPr>
          <w:rFonts w:hint="default" w:ascii="仿宋" w:hAnsi="仿宋" w:eastAsia="仿宋" w:cs="仿宋"/>
          <w:b w:val="0"/>
          <w:bCs w:val="0"/>
          <w:spacing w:val="0"/>
          <w:kern w:val="2"/>
          <w:sz w:val="32"/>
          <w:szCs w:val="32"/>
          <w:highlight w:val="none"/>
          <w:lang w:val="en-US" w:eastAsia="zh-CN" w:bidi="ar-SA"/>
        </w:rPr>
        <w:t>2</w:t>
      </w:r>
      <w:r>
        <w:rPr>
          <w:rFonts w:hint="default" w:ascii="仿宋" w:hAnsi="仿宋" w:eastAsia="仿宋" w:cs="仿宋"/>
          <w:b w:val="0"/>
          <w:bCs w:val="0"/>
          <w:spacing w:val="0"/>
          <w:kern w:val="2"/>
          <w:sz w:val="32"/>
          <w:szCs w:val="32"/>
          <w:highlight w:val="none"/>
          <w:lang w:val="zh-CN" w:eastAsia="zh-CN" w:bidi="ar-SA"/>
        </w:rPr>
        <w:t>月预算执行</w:t>
      </w:r>
      <w:r>
        <w:rPr>
          <w:rFonts w:hint="eastAsia" w:ascii="仿宋" w:hAnsi="仿宋" w:eastAsia="仿宋" w:cs="仿宋"/>
          <w:b w:val="0"/>
          <w:bCs w:val="0"/>
          <w:spacing w:val="0"/>
          <w:kern w:val="2"/>
          <w:sz w:val="32"/>
          <w:szCs w:val="32"/>
          <w:highlight w:val="none"/>
          <w:lang w:val="en-US" w:eastAsia="zh-CN" w:bidi="ar-SA"/>
        </w:rPr>
        <w:t>8.6万元，</w:t>
      </w:r>
      <w:r>
        <w:rPr>
          <w:rFonts w:hint="default" w:ascii="仿宋" w:hAnsi="仿宋" w:eastAsia="仿宋" w:cs="仿宋"/>
          <w:b w:val="0"/>
          <w:bCs w:val="0"/>
          <w:spacing w:val="0"/>
          <w:kern w:val="2"/>
          <w:sz w:val="32"/>
          <w:szCs w:val="32"/>
          <w:highlight w:val="none"/>
          <w:lang w:val="zh-CN" w:eastAsia="zh-CN" w:bidi="ar-SA"/>
        </w:rPr>
        <w:t>总体进度为</w:t>
      </w:r>
      <w:r>
        <w:rPr>
          <w:rFonts w:hint="eastAsia" w:ascii="仿宋" w:hAnsi="仿宋" w:eastAsia="仿宋" w:cs="仿宋"/>
          <w:b w:val="0"/>
          <w:bCs w:val="0"/>
          <w:spacing w:val="0"/>
          <w:kern w:val="2"/>
          <w:sz w:val="32"/>
          <w:szCs w:val="32"/>
          <w:highlight w:val="none"/>
          <w:lang w:val="en-US" w:eastAsia="zh-CN" w:bidi="ar-SA"/>
        </w:rPr>
        <w:t>67.64</w:t>
      </w:r>
      <w:r>
        <w:rPr>
          <w:rFonts w:hint="default" w:ascii="仿宋" w:hAnsi="仿宋" w:eastAsia="仿宋" w:cs="仿宋"/>
          <w:b w:val="0"/>
          <w:bCs w:val="0"/>
          <w:spacing w:val="0"/>
          <w:kern w:val="2"/>
          <w:sz w:val="32"/>
          <w:szCs w:val="32"/>
          <w:highlight w:val="none"/>
          <w:lang w:val="zh-CN" w:eastAsia="zh-CN" w:bidi="ar-SA"/>
        </w:rPr>
        <w:t>%，其中：预算结余率大于</w:t>
      </w:r>
      <w:r>
        <w:rPr>
          <w:rFonts w:hint="default" w:ascii="仿宋" w:hAnsi="仿宋" w:eastAsia="仿宋" w:cs="仿宋"/>
          <w:b w:val="0"/>
          <w:bCs w:val="0"/>
          <w:spacing w:val="0"/>
          <w:kern w:val="2"/>
          <w:sz w:val="32"/>
          <w:szCs w:val="32"/>
          <w:highlight w:val="none"/>
          <w:lang w:val="en-US" w:eastAsia="zh-CN" w:bidi="ar-SA"/>
        </w:rPr>
        <w:t>10%</w:t>
      </w:r>
      <w:r>
        <w:rPr>
          <w:rFonts w:hint="default" w:ascii="仿宋" w:hAnsi="仿宋" w:eastAsia="仿宋" w:cs="仿宋"/>
          <w:b w:val="0"/>
          <w:bCs w:val="0"/>
          <w:spacing w:val="0"/>
          <w:kern w:val="2"/>
          <w:sz w:val="32"/>
          <w:szCs w:val="32"/>
          <w:highlight w:val="none"/>
          <w:lang w:val="zh-CN" w:eastAsia="zh-CN" w:bidi="ar-SA"/>
        </w:rPr>
        <w:t>的项目共计</w:t>
      </w:r>
      <w:r>
        <w:rPr>
          <w:rFonts w:hint="eastAsia" w:ascii="仿宋" w:hAnsi="仿宋" w:eastAsia="仿宋" w:cs="仿宋"/>
          <w:b w:val="0"/>
          <w:bCs w:val="0"/>
          <w:spacing w:val="0"/>
          <w:kern w:val="2"/>
          <w:sz w:val="32"/>
          <w:szCs w:val="32"/>
          <w:highlight w:val="none"/>
          <w:lang w:val="en-US" w:eastAsia="zh-CN" w:bidi="ar-SA"/>
        </w:rPr>
        <w:t>1</w:t>
      </w:r>
      <w:r>
        <w:rPr>
          <w:rFonts w:hint="default" w:ascii="仿宋" w:hAnsi="仿宋" w:eastAsia="仿宋" w:cs="仿宋"/>
          <w:b w:val="0"/>
          <w:bCs w:val="0"/>
          <w:spacing w:val="0"/>
          <w:kern w:val="2"/>
          <w:sz w:val="32"/>
          <w:szCs w:val="32"/>
          <w:highlight w:val="none"/>
          <w:lang w:val="zh-CN" w:eastAsia="zh-CN" w:bidi="ar-SA"/>
        </w:rPr>
        <w:t>个。</w:t>
      </w:r>
      <w:r>
        <w:rPr>
          <w:rFonts w:hint="eastAsia" w:ascii="仿宋" w:hAnsi="仿宋" w:eastAsia="仿宋" w:cs="仿宋"/>
          <w:b w:val="0"/>
          <w:bCs w:val="0"/>
          <w:spacing w:val="0"/>
          <w:kern w:val="2"/>
          <w:sz w:val="32"/>
          <w:szCs w:val="32"/>
          <w:highlight w:val="none"/>
          <w:lang w:val="en-US" w:eastAsia="zh-CN" w:bidi="ar-SA"/>
        </w:rPr>
        <w:t>主要是财政2024年12月拨入省级教师培训计划资金4.00万元未使用。</w:t>
      </w:r>
    </w:p>
    <w:p w14:paraId="1DBC19DB">
      <w:pPr>
        <w:pStyle w:val="4"/>
        <w:pageBreakBefore w:val="0"/>
        <w:numPr>
          <w:ilvl w:val="0"/>
          <w:numId w:val="0"/>
        </w:numPr>
        <w:kinsoku/>
        <w:wordWrap/>
        <w:overflowPunct/>
        <w:topLinePunct w:val="0"/>
        <w:autoSpaceDE/>
        <w:autoSpaceDN/>
        <w:bidi w:val="0"/>
        <w:snapToGrid w:val="0"/>
        <w:spacing w:before="0" w:after="0" w:line="360" w:lineRule="auto"/>
        <w:ind w:left="0" w:leftChars="0" w:firstLine="632" w:firstLineChars="200"/>
        <w:outlineLvl w:val="9"/>
        <w:rPr>
          <w:rFonts w:hint="eastAsia" w:ascii="仿宋" w:hAnsi="仿宋" w:eastAsia="仿宋" w:cs="仿宋"/>
          <w:b w:val="0"/>
          <w:bCs w:val="0"/>
          <w:spacing w:val="0"/>
          <w:kern w:val="2"/>
          <w:sz w:val="32"/>
          <w:szCs w:val="32"/>
          <w:highlight w:val="none"/>
          <w:lang w:val="zh-CN" w:eastAsia="zh-CN" w:bidi="ar-SA"/>
        </w:rPr>
      </w:pPr>
      <w:r>
        <w:rPr>
          <w:rFonts w:hint="eastAsia" w:ascii="仿宋" w:hAnsi="仿宋" w:eastAsia="仿宋" w:cs="仿宋"/>
          <w:b w:val="0"/>
          <w:bCs w:val="0"/>
          <w:spacing w:val="0"/>
          <w:kern w:val="2"/>
          <w:sz w:val="32"/>
          <w:szCs w:val="32"/>
          <w:lang w:val="zh-CN" w:eastAsia="zh-CN" w:bidi="ar-SA"/>
        </w:rPr>
        <w:t>1.</w:t>
      </w:r>
      <w:r>
        <w:rPr>
          <w:rFonts w:hint="eastAsia" w:ascii="仿宋" w:hAnsi="仿宋" w:eastAsia="仿宋" w:cs="仿宋"/>
          <w:b w:val="0"/>
          <w:bCs w:val="0"/>
          <w:spacing w:val="0"/>
          <w:kern w:val="2"/>
          <w:sz w:val="32"/>
          <w:szCs w:val="32"/>
          <w:highlight w:val="none"/>
          <w:lang w:val="zh-CN" w:eastAsia="zh-CN" w:bidi="ar-SA"/>
        </w:rPr>
        <w:t>项目决策。</w:t>
      </w:r>
    </w:p>
    <w:p w14:paraId="6DCFAC5E">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（1）决策程序</w:t>
      </w:r>
    </w:p>
    <w:p w14:paraId="6F3F1A72">
      <w:pPr>
        <w:pageBreakBefore w:val="0"/>
        <w:kinsoku/>
        <w:wordWrap/>
        <w:overflowPunct/>
        <w:topLinePunct w:val="0"/>
        <w:autoSpaceDE/>
        <w:autoSpaceDN/>
        <w:bidi w:val="0"/>
        <w:snapToGrid w:val="0"/>
        <w:spacing w:line="360" w:lineRule="auto"/>
        <w:ind w:firstLine="632" w:firstLineChars="200"/>
        <w:rPr>
          <w:rFonts w:hint="default"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根据财政</w:t>
      </w:r>
      <w:r>
        <w:rPr>
          <w:rFonts w:hint="default" w:ascii="仿宋" w:hAnsi="仿宋" w:eastAsia="仿宋" w:cs="仿宋"/>
          <w:b w:val="0"/>
          <w:bCs w:val="0"/>
          <w:spacing w:val="0"/>
          <w:kern w:val="2"/>
          <w:sz w:val="32"/>
          <w:szCs w:val="32"/>
          <w:highlight w:val="none"/>
          <w:lang w:val="en-US" w:eastAsia="zh-CN" w:bidi="ar-SA"/>
        </w:rPr>
        <w:t>事前绩效评估管理办法</w:t>
      </w:r>
      <w:r>
        <w:rPr>
          <w:rFonts w:hint="eastAsia" w:ascii="仿宋" w:hAnsi="仿宋" w:eastAsia="仿宋" w:cs="仿宋"/>
          <w:b w:val="0"/>
          <w:bCs w:val="0"/>
          <w:spacing w:val="0"/>
          <w:kern w:val="2"/>
          <w:sz w:val="32"/>
          <w:szCs w:val="32"/>
          <w:highlight w:val="none"/>
          <w:lang w:val="en-US" w:eastAsia="zh-CN" w:bidi="ar-SA"/>
        </w:rPr>
        <w:t>，我校对于</w:t>
      </w:r>
      <w:r>
        <w:rPr>
          <w:rFonts w:hint="default" w:ascii="仿宋" w:hAnsi="仿宋" w:eastAsia="仿宋" w:cs="仿宋"/>
          <w:b w:val="0"/>
          <w:bCs w:val="0"/>
          <w:spacing w:val="0"/>
          <w:kern w:val="2"/>
          <w:sz w:val="32"/>
          <w:szCs w:val="32"/>
          <w:highlight w:val="none"/>
          <w:lang w:val="en-US" w:eastAsia="zh-CN" w:bidi="ar-SA"/>
        </w:rPr>
        <w:t>年度</w:t>
      </w:r>
      <w:r>
        <w:rPr>
          <w:rFonts w:hint="eastAsia" w:ascii="仿宋" w:hAnsi="仿宋" w:eastAsia="仿宋" w:cs="仿宋"/>
          <w:b w:val="0"/>
          <w:bCs w:val="0"/>
          <w:spacing w:val="0"/>
          <w:kern w:val="2"/>
          <w:sz w:val="32"/>
          <w:szCs w:val="32"/>
          <w:highlight w:val="none"/>
          <w:lang w:val="en-US" w:eastAsia="zh-CN" w:bidi="ar-SA"/>
        </w:rPr>
        <w:t>内每一笔资金的安排都通过学校党委集体研究讨论安排如何高质量的投入职业教育。</w:t>
      </w:r>
      <w:r>
        <w:rPr>
          <w:rFonts w:hint="default" w:ascii="仿宋" w:hAnsi="仿宋" w:eastAsia="仿宋" w:cs="仿宋"/>
          <w:b w:val="0"/>
          <w:bCs w:val="0"/>
          <w:spacing w:val="0"/>
          <w:kern w:val="2"/>
          <w:sz w:val="32"/>
          <w:szCs w:val="32"/>
          <w:highlight w:val="none"/>
          <w:lang w:val="en-US" w:eastAsia="zh-CN" w:bidi="ar-SA"/>
        </w:rPr>
        <w:t>年度预算项目</w:t>
      </w:r>
      <w:r>
        <w:rPr>
          <w:rFonts w:hint="eastAsia" w:ascii="仿宋" w:hAnsi="仿宋" w:eastAsia="仿宋" w:cs="仿宋"/>
          <w:b w:val="0"/>
          <w:bCs w:val="0"/>
          <w:spacing w:val="0"/>
          <w:kern w:val="2"/>
          <w:sz w:val="32"/>
          <w:szCs w:val="32"/>
          <w:highlight w:val="none"/>
          <w:lang w:val="en-US" w:eastAsia="zh-CN" w:bidi="ar-SA"/>
        </w:rPr>
        <w:t>均开展事前绩效评估。2024年本部门应开展部门预算阶段项目（含一次性项目）总数4个、实际开展部门预算阶段项目（含一次性项目）3个，开展比例75%。根据《部门整体支出绩效自评打分表》的评分说明本项指标权重4分、得分4分。具体原因是财政调整预算12月拨入省级教师培训计划资金无法在当年实施，资金安排于2025年使用。</w:t>
      </w:r>
    </w:p>
    <w:p w14:paraId="545CC432">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（2）目标设置</w:t>
      </w:r>
    </w:p>
    <w:p w14:paraId="67EEE43A">
      <w:pPr>
        <w:pageBreakBefore w:val="0"/>
        <w:kinsoku/>
        <w:wordWrap/>
        <w:overflowPunct/>
        <w:topLinePunct w:val="0"/>
        <w:autoSpaceDE/>
        <w:autoSpaceDN/>
        <w:bidi w:val="0"/>
        <w:snapToGrid w:val="0"/>
        <w:spacing w:line="360" w:lineRule="auto"/>
        <w:ind w:firstLine="632" w:firstLineChars="200"/>
        <w:rPr>
          <w:rFonts w:hint="default" w:ascii="仿宋" w:hAnsi="仿宋" w:eastAsia="仿宋" w:cs="仿宋"/>
          <w:b w:val="0"/>
          <w:bCs w:val="0"/>
          <w:spacing w:val="0"/>
          <w:kern w:val="2"/>
          <w:sz w:val="32"/>
          <w:szCs w:val="32"/>
          <w:highlight w:val="none"/>
          <w:lang w:val="en-US" w:eastAsia="zh-CN" w:bidi="ar-SA"/>
        </w:rPr>
      </w:pPr>
      <w:r>
        <w:rPr>
          <w:rFonts w:hint="default" w:ascii="仿宋" w:hAnsi="仿宋" w:eastAsia="仿宋" w:cs="仿宋"/>
          <w:b w:val="0"/>
          <w:bCs w:val="0"/>
          <w:spacing w:val="0"/>
          <w:kern w:val="2"/>
          <w:sz w:val="32"/>
          <w:szCs w:val="32"/>
          <w:highlight w:val="none"/>
          <w:lang w:val="en-US" w:eastAsia="zh-CN" w:bidi="ar-SA"/>
        </w:rPr>
        <w:t>根据绩效目标管理办法</w:t>
      </w:r>
      <w:r>
        <w:rPr>
          <w:rFonts w:hint="eastAsia" w:ascii="仿宋" w:hAnsi="仿宋" w:eastAsia="仿宋" w:cs="仿宋"/>
          <w:b w:val="0"/>
          <w:bCs w:val="0"/>
          <w:spacing w:val="0"/>
          <w:kern w:val="2"/>
          <w:sz w:val="32"/>
          <w:szCs w:val="32"/>
          <w:highlight w:val="none"/>
          <w:lang w:val="en-US" w:eastAsia="zh-CN" w:bidi="ar-SA"/>
        </w:rPr>
        <w:t>和</w:t>
      </w:r>
      <w:r>
        <w:rPr>
          <w:rFonts w:hint="default" w:ascii="仿宋" w:hAnsi="仿宋" w:eastAsia="仿宋" w:cs="仿宋"/>
          <w:b w:val="0"/>
          <w:bCs w:val="0"/>
          <w:spacing w:val="0"/>
          <w:kern w:val="2"/>
          <w:sz w:val="32"/>
          <w:szCs w:val="32"/>
          <w:highlight w:val="none"/>
          <w:lang w:val="en-US" w:eastAsia="zh-CN" w:bidi="ar-SA"/>
        </w:rPr>
        <w:t>部门预算编制通知文件</w:t>
      </w:r>
      <w:r>
        <w:rPr>
          <w:rFonts w:hint="eastAsia" w:ascii="仿宋" w:hAnsi="仿宋" w:eastAsia="仿宋" w:cs="仿宋"/>
          <w:b w:val="0"/>
          <w:bCs w:val="0"/>
          <w:spacing w:val="0"/>
          <w:kern w:val="2"/>
          <w:sz w:val="32"/>
          <w:szCs w:val="32"/>
          <w:highlight w:val="none"/>
          <w:lang w:val="en-US" w:eastAsia="zh-CN" w:bidi="ar-SA"/>
        </w:rPr>
        <w:t>以及本部门项目绩效目标及预算审核结果。2024年本单位不存在绩效目标与计划期内的任务量、预算安排不相匹配的部门预算阶段项目（含一次性项目）的项目。根据《部门整体支出绩效自评打分表》的评分说明本项指标权重4分、得分4分。</w:t>
      </w:r>
    </w:p>
    <w:p w14:paraId="35A06006">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（3）项目入库</w:t>
      </w:r>
    </w:p>
    <w:p w14:paraId="1B60473C">
      <w:pPr>
        <w:pageBreakBefore w:val="0"/>
        <w:kinsoku/>
        <w:wordWrap/>
        <w:overflowPunct/>
        <w:topLinePunct w:val="0"/>
        <w:autoSpaceDE/>
        <w:autoSpaceDN/>
        <w:bidi w:val="0"/>
        <w:snapToGrid w:val="0"/>
        <w:spacing w:line="360" w:lineRule="auto"/>
        <w:ind w:firstLine="632" w:firstLineChars="200"/>
        <w:rPr>
          <w:rFonts w:hint="default"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我校</w:t>
      </w:r>
      <w:r>
        <w:rPr>
          <w:rFonts w:hint="default" w:ascii="仿宋" w:hAnsi="仿宋" w:eastAsia="仿宋" w:cs="仿宋"/>
          <w:b w:val="0"/>
          <w:bCs w:val="0"/>
          <w:spacing w:val="0"/>
          <w:kern w:val="2"/>
          <w:sz w:val="32"/>
          <w:szCs w:val="32"/>
          <w:highlight w:val="none"/>
          <w:lang w:val="en-US" w:eastAsia="zh-CN" w:bidi="ar-SA"/>
        </w:rPr>
        <w:t>根据</w:t>
      </w:r>
      <w:r>
        <w:rPr>
          <w:rFonts w:hint="eastAsia" w:ascii="仿宋" w:hAnsi="仿宋" w:eastAsia="仿宋" w:cs="仿宋"/>
          <w:b w:val="0"/>
          <w:bCs w:val="0"/>
          <w:spacing w:val="0"/>
          <w:kern w:val="2"/>
          <w:sz w:val="32"/>
          <w:szCs w:val="32"/>
          <w:highlight w:val="none"/>
          <w:lang w:val="en-US" w:eastAsia="zh-CN" w:bidi="ar-SA"/>
        </w:rPr>
        <w:t>财政通知，2024年部门预算项目要求入库时间为通知当日及时办理。2024年本部门最终安排部门预算阶段项目（含一次性项目）总数9个，项目入库及时率100%。根据《部门整体支出绩效自评打分表》的评分说明本项指标权重4分、得分4分。</w:t>
      </w:r>
    </w:p>
    <w:p w14:paraId="3AB35F45">
      <w:pPr>
        <w:pStyle w:val="4"/>
        <w:pageBreakBefore w:val="0"/>
        <w:numPr>
          <w:ilvl w:val="0"/>
          <w:numId w:val="0"/>
        </w:numPr>
        <w:kinsoku/>
        <w:wordWrap/>
        <w:overflowPunct/>
        <w:topLinePunct w:val="0"/>
        <w:autoSpaceDE/>
        <w:autoSpaceDN/>
        <w:bidi w:val="0"/>
        <w:snapToGrid w:val="0"/>
        <w:spacing w:before="0" w:after="0" w:line="360" w:lineRule="auto"/>
        <w:ind w:left="0" w:leftChars="0" w:firstLine="632" w:firstLineChars="200"/>
        <w:outlineLvl w:val="9"/>
        <w:rPr>
          <w:rFonts w:hint="eastAsia" w:ascii="仿宋" w:hAnsi="仿宋" w:eastAsia="仿宋" w:cs="仿宋"/>
          <w:b w:val="0"/>
          <w:bCs w:val="0"/>
          <w:spacing w:val="0"/>
          <w:kern w:val="2"/>
          <w:sz w:val="32"/>
          <w:szCs w:val="32"/>
          <w:highlight w:val="none"/>
          <w:lang w:val="zh-CN" w:eastAsia="zh-CN" w:bidi="ar-SA"/>
        </w:rPr>
      </w:pPr>
      <w:r>
        <w:rPr>
          <w:rFonts w:hint="eastAsia" w:ascii="仿宋" w:hAnsi="仿宋" w:eastAsia="仿宋" w:cs="仿宋"/>
          <w:b w:val="0"/>
          <w:bCs w:val="0"/>
          <w:spacing w:val="0"/>
          <w:kern w:val="2"/>
          <w:sz w:val="32"/>
          <w:szCs w:val="32"/>
          <w:lang w:val="zh-CN" w:eastAsia="zh-CN" w:bidi="ar-SA"/>
        </w:rPr>
        <w:t>2.</w:t>
      </w:r>
      <w:r>
        <w:rPr>
          <w:rFonts w:hint="eastAsia" w:ascii="仿宋" w:hAnsi="仿宋" w:eastAsia="仿宋" w:cs="仿宋"/>
          <w:b w:val="0"/>
          <w:bCs w:val="0"/>
          <w:spacing w:val="0"/>
          <w:kern w:val="2"/>
          <w:sz w:val="32"/>
          <w:szCs w:val="32"/>
          <w:highlight w:val="none"/>
          <w:lang w:val="en-US" w:eastAsia="zh-CN" w:bidi="ar-SA"/>
        </w:rPr>
        <w:t>项目执行</w:t>
      </w:r>
      <w:r>
        <w:rPr>
          <w:rFonts w:hint="eastAsia" w:ascii="仿宋" w:hAnsi="仿宋" w:eastAsia="仿宋" w:cs="仿宋"/>
          <w:b w:val="0"/>
          <w:bCs w:val="0"/>
          <w:spacing w:val="0"/>
          <w:kern w:val="2"/>
          <w:sz w:val="32"/>
          <w:szCs w:val="32"/>
          <w:highlight w:val="none"/>
          <w:lang w:val="zh-CN" w:eastAsia="zh-CN" w:bidi="ar-SA"/>
        </w:rPr>
        <w:t>。</w:t>
      </w:r>
    </w:p>
    <w:p w14:paraId="5FB25C94">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（1）执行同向</w:t>
      </w:r>
    </w:p>
    <w:p w14:paraId="2BAADF09">
      <w:pPr>
        <w:pageBreakBefore w:val="0"/>
        <w:kinsoku/>
        <w:wordWrap/>
        <w:overflowPunct/>
        <w:topLinePunct w:val="0"/>
        <w:autoSpaceDE/>
        <w:autoSpaceDN/>
        <w:bidi w:val="0"/>
        <w:snapToGrid w:val="0"/>
        <w:spacing w:line="360" w:lineRule="auto"/>
        <w:ind w:firstLine="640"/>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2024年本部门部门预算阶段项目（含一次性项目）总数9个，按照“抽评的部门预算阶段项目（含一次性项目）总数9个项目。根据《部门整体支出绩效自评打分表》的评分说明本项指标权重5分、得分5分。执行同向情况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644"/>
        <w:gridCol w:w="2068"/>
        <w:gridCol w:w="1476"/>
        <w:gridCol w:w="1463"/>
        <w:gridCol w:w="1463"/>
      </w:tblGrid>
      <w:tr w14:paraId="7087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tcPr>
          <w:p w14:paraId="2A5A42F8">
            <w:pPr>
              <w:pStyle w:val="28"/>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b/>
                <w:bCs w:val="0"/>
                <w:color w:val="auto"/>
                <w:spacing w:val="-20"/>
                <w:sz w:val="28"/>
                <w:szCs w:val="28"/>
                <w:lang w:val="en-US" w:eastAsia="zh-CN"/>
              </w:rPr>
            </w:pPr>
            <w:r>
              <w:rPr>
                <w:rFonts w:hint="eastAsia"/>
                <w:b/>
                <w:bCs w:val="0"/>
                <w:color w:val="auto"/>
                <w:spacing w:val="-20"/>
                <w:sz w:val="28"/>
                <w:szCs w:val="28"/>
                <w:lang w:val="en-US" w:eastAsia="zh-CN"/>
              </w:rPr>
              <w:t>序号</w:t>
            </w:r>
          </w:p>
        </w:tc>
        <w:tc>
          <w:tcPr>
            <w:tcW w:w="1644" w:type="dxa"/>
          </w:tcPr>
          <w:p w14:paraId="195D094D">
            <w:pPr>
              <w:pStyle w:val="28"/>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b/>
                <w:bCs w:val="0"/>
                <w:color w:val="auto"/>
                <w:spacing w:val="-20"/>
                <w:sz w:val="28"/>
                <w:szCs w:val="28"/>
                <w:lang w:val="en-US" w:eastAsia="zh-CN"/>
              </w:rPr>
            </w:pPr>
            <w:r>
              <w:rPr>
                <w:rFonts w:hint="eastAsia"/>
                <w:b/>
                <w:bCs w:val="0"/>
                <w:color w:val="auto"/>
                <w:spacing w:val="-20"/>
                <w:sz w:val="28"/>
                <w:szCs w:val="28"/>
                <w:lang w:val="en-US" w:eastAsia="zh-CN"/>
              </w:rPr>
              <w:t>项目名称</w:t>
            </w:r>
          </w:p>
        </w:tc>
        <w:tc>
          <w:tcPr>
            <w:tcW w:w="2068" w:type="dxa"/>
          </w:tcPr>
          <w:p w14:paraId="69F59797">
            <w:pPr>
              <w:pStyle w:val="28"/>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b/>
                <w:bCs w:val="0"/>
                <w:color w:val="auto"/>
                <w:spacing w:val="-20"/>
                <w:sz w:val="28"/>
                <w:szCs w:val="28"/>
                <w:lang w:val="en-US" w:eastAsia="zh-CN"/>
              </w:rPr>
            </w:pPr>
            <w:r>
              <w:rPr>
                <w:rFonts w:hint="default"/>
                <w:b/>
                <w:bCs w:val="0"/>
                <w:color w:val="auto"/>
                <w:spacing w:val="-20"/>
                <w:sz w:val="28"/>
                <w:szCs w:val="28"/>
                <w:lang w:val="en-US" w:eastAsia="zh-CN"/>
              </w:rPr>
              <w:t>绩效目标设置方向</w:t>
            </w:r>
            <w:r>
              <w:rPr>
                <w:rFonts w:hint="eastAsia"/>
                <w:b/>
                <w:bCs w:val="0"/>
                <w:color w:val="auto"/>
                <w:spacing w:val="-20"/>
                <w:sz w:val="28"/>
                <w:szCs w:val="28"/>
                <w:lang w:val="en-US" w:eastAsia="zh-CN"/>
              </w:rPr>
              <w:t>及内容</w:t>
            </w:r>
          </w:p>
        </w:tc>
        <w:tc>
          <w:tcPr>
            <w:tcW w:w="1476" w:type="dxa"/>
          </w:tcPr>
          <w:p w14:paraId="7ABE5FCE">
            <w:pPr>
              <w:pStyle w:val="28"/>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b/>
                <w:bCs w:val="0"/>
                <w:color w:val="auto"/>
                <w:spacing w:val="-20"/>
                <w:sz w:val="28"/>
                <w:szCs w:val="28"/>
                <w:lang w:val="en-US" w:eastAsia="zh-CN"/>
              </w:rPr>
            </w:pPr>
            <w:r>
              <w:rPr>
                <w:rFonts w:hint="default"/>
                <w:b/>
                <w:bCs w:val="0"/>
                <w:color w:val="auto"/>
                <w:spacing w:val="-20"/>
                <w:sz w:val="28"/>
                <w:szCs w:val="28"/>
                <w:lang w:val="en-US" w:eastAsia="zh-CN"/>
              </w:rPr>
              <w:t>实际列支内容</w:t>
            </w:r>
          </w:p>
        </w:tc>
        <w:tc>
          <w:tcPr>
            <w:tcW w:w="1463" w:type="dxa"/>
          </w:tcPr>
          <w:p w14:paraId="202A3BD6">
            <w:pPr>
              <w:pStyle w:val="28"/>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b/>
                <w:bCs w:val="0"/>
                <w:color w:val="auto"/>
                <w:spacing w:val="-20"/>
                <w:sz w:val="28"/>
                <w:szCs w:val="28"/>
                <w:lang w:val="en-US" w:eastAsia="zh-CN"/>
              </w:rPr>
            </w:pPr>
            <w:r>
              <w:rPr>
                <w:rFonts w:hint="eastAsia"/>
                <w:b/>
                <w:bCs w:val="0"/>
                <w:color w:val="auto"/>
                <w:spacing w:val="-20"/>
                <w:sz w:val="28"/>
                <w:szCs w:val="28"/>
                <w:lang w:val="en-US" w:eastAsia="zh-CN"/>
              </w:rPr>
              <w:t>是否执行同向</w:t>
            </w:r>
          </w:p>
        </w:tc>
        <w:tc>
          <w:tcPr>
            <w:tcW w:w="1463" w:type="dxa"/>
          </w:tcPr>
          <w:p w14:paraId="4FF76FEF">
            <w:pPr>
              <w:pStyle w:val="28"/>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b/>
                <w:bCs w:val="0"/>
                <w:color w:val="auto"/>
                <w:spacing w:val="-20"/>
                <w:sz w:val="28"/>
                <w:szCs w:val="28"/>
                <w:lang w:val="en-US" w:eastAsia="zh-CN"/>
              </w:rPr>
            </w:pPr>
            <w:r>
              <w:rPr>
                <w:rFonts w:hint="eastAsia"/>
                <w:b/>
                <w:bCs w:val="0"/>
                <w:color w:val="auto"/>
                <w:spacing w:val="-20"/>
                <w:sz w:val="28"/>
                <w:szCs w:val="28"/>
                <w:lang w:val="en-US" w:eastAsia="zh-CN"/>
              </w:rPr>
              <w:t>备注说明</w:t>
            </w:r>
          </w:p>
        </w:tc>
      </w:tr>
      <w:tr w14:paraId="37FE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022BC7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1644" w:type="dxa"/>
            <w:shd w:val="clear" w:color="auto" w:fill="auto"/>
            <w:vAlign w:val="center"/>
          </w:tcPr>
          <w:p w14:paraId="3253CE2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zh-CN" w:eastAsia="zh-CN"/>
              </w:rPr>
              <w:t>现代职业教育质量提升计划资金</w:t>
            </w:r>
          </w:p>
        </w:tc>
        <w:tc>
          <w:tcPr>
            <w:tcW w:w="2068" w:type="dxa"/>
            <w:vAlign w:val="center"/>
          </w:tcPr>
          <w:p w14:paraId="7D464D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改善办学条件，提高教学质量，完成三名工程建设任务</w:t>
            </w:r>
          </w:p>
        </w:tc>
        <w:tc>
          <w:tcPr>
            <w:tcW w:w="1476" w:type="dxa"/>
            <w:vAlign w:val="center"/>
          </w:tcPr>
          <w:p w14:paraId="506C46A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改善办学条件，提高教学质量，完成三名工程建设任务</w:t>
            </w:r>
          </w:p>
        </w:tc>
        <w:tc>
          <w:tcPr>
            <w:tcW w:w="1463" w:type="dxa"/>
            <w:vAlign w:val="center"/>
          </w:tcPr>
          <w:p w14:paraId="7F4443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587F45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5100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834" w:type="dxa"/>
            <w:vAlign w:val="center"/>
          </w:tcPr>
          <w:p w14:paraId="1B5104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w:t>
            </w:r>
          </w:p>
        </w:tc>
        <w:tc>
          <w:tcPr>
            <w:tcW w:w="1644" w:type="dxa"/>
            <w:shd w:val="clear" w:color="auto" w:fill="auto"/>
            <w:vAlign w:val="center"/>
          </w:tcPr>
          <w:p w14:paraId="58FD889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支持中等职业教育发展资金</w:t>
            </w:r>
          </w:p>
        </w:tc>
        <w:tc>
          <w:tcPr>
            <w:tcW w:w="2068" w:type="dxa"/>
            <w:vAlign w:val="center"/>
          </w:tcPr>
          <w:p w14:paraId="159A52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改善办学条件，提高教学质量，保障”9+3”学生顺利完成学业</w:t>
            </w:r>
          </w:p>
        </w:tc>
        <w:tc>
          <w:tcPr>
            <w:tcW w:w="1476" w:type="dxa"/>
            <w:vAlign w:val="center"/>
          </w:tcPr>
          <w:p w14:paraId="26A7D5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改善办学条件，提高教学质量，保障”9+3”学生顺利完成学业</w:t>
            </w:r>
          </w:p>
        </w:tc>
        <w:tc>
          <w:tcPr>
            <w:tcW w:w="1463" w:type="dxa"/>
            <w:vAlign w:val="center"/>
          </w:tcPr>
          <w:p w14:paraId="5564FA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4E7CFA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361D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3EEE67C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w:t>
            </w:r>
          </w:p>
        </w:tc>
        <w:tc>
          <w:tcPr>
            <w:tcW w:w="1644" w:type="dxa"/>
            <w:shd w:val="clear" w:color="auto" w:fill="auto"/>
            <w:vAlign w:val="center"/>
          </w:tcPr>
          <w:p w14:paraId="5BCD754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学生资助专项资金</w:t>
            </w:r>
          </w:p>
        </w:tc>
        <w:tc>
          <w:tcPr>
            <w:tcW w:w="2068" w:type="dxa"/>
            <w:vAlign w:val="center"/>
          </w:tcPr>
          <w:p w14:paraId="5EEA14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保障学校各项工作顺利开展</w:t>
            </w:r>
          </w:p>
        </w:tc>
        <w:tc>
          <w:tcPr>
            <w:tcW w:w="1476" w:type="dxa"/>
            <w:vAlign w:val="center"/>
          </w:tcPr>
          <w:p w14:paraId="4ED03F8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保障学校各项工作顺利开展</w:t>
            </w:r>
          </w:p>
        </w:tc>
        <w:tc>
          <w:tcPr>
            <w:tcW w:w="1463" w:type="dxa"/>
            <w:vAlign w:val="center"/>
          </w:tcPr>
          <w:p w14:paraId="187513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40D03E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3C0D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784EC1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4</w:t>
            </w:r>
          </w:p>
        </w:tc>
        <w:tc>
          <w:tcPr>
            <w:tcW w:w="1644" w:type="dxa"/>
            <w:shd w:val="clear" w:color="auto" w:fill="auto"/>
            <w:vAlign w:val="center"/>
          </w:tcPr>
          <w:p w14:paraId="6291E42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zh-CN" w:eastAsia="zh-CN"/>
              </w:rPr>
              <w:t>教育发展专项资金</w:t>
            </w:r>
          </w:p>
        </w:tc>
        <w:tc>
          <w:tcPr>
            <w:tcW w:w="2068" w:type="dxa"/>
            <w:vAlign w:val="center"/>
          </w:tcPr>
          <w:p w14:paraId="30DE9A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p>
        </w:tc>
        <w:tc>
          <w:tcPr>
            <w:tcW w:w="1476" w:type="dxa"/>
            <w:vAlign w:val="center"/>
          </w:tcPr>
          <w:p w14:paraId="2819A04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p>
        </w:tc>
        <w:tc>
          <w:tcPr>
            <w:tcW w:w="1463" w:type="dxa"/>
            <w:vAlign w:val="center"/>
          </w:tcPr>
          <w:p w14:paraId="4F83B4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1E8001B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00E3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69FBEE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5</w:t>
            </w:r>
          </w:p>
        </w:tc>
        <w:tc>
          <w:tcPr>
            <w:tcW w:w="1644" w:type="dxa"/>
            <w:shd w:val="clear" w:color="auto" w:fill="auto"/>
            <w:vAlign w:val="center"/>
          </w:tcPr>
          <w:p w14:paraId="787E138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学生资助补助经费</w:t>
            </w:r>
          </w:p>
        </w:tc>
        <w:tc>
          <w:tcPr>
            <w:tcW w:w="2068" w:type="dxa"/>
            <w:vAlign w:val="center"/>
          </w:tcPr>
          <w:p w14:paraId="6C1184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保障学校各项工作顺利开展</w:t>
            </w:r>
          </w:p>
        </w:tc>
        <w:tc>
          <w:tcPr>
            <w:tcW w:w="1476" w:type="dxa"/>
            <w:vAlign w:val="center"/>
          </w:tcPr>
          <w:p w14:paraId="2A483E0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保障学校各项工作顺利开展</w:t>
            </w:r>
          </w:p>
        </w:tc>
        <w:tc>
          <w:tcPr>
            <w:tcW w:w="1463" w:type="dxa"/>
            <w:vAlign w:val="center"/>
          </w:tcPr>
          <w:p w14:paraId="323B6D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6F51AE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7AE9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629AC83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6</w:t>
            </w:r>
          </w:p>
        </w:tc>
        <w:tc>
          <w:tcPr>
            <w:tcW w:w="1644" w:type="dxa"/>
            <w:shd w:val="clear" w:color="auto" w:fill="auto"/>
            <w:vAlign w:val="center"/>
          </w:tcPr>
          <w:p w14:paraId="2CDA3C3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公共卫生特别服务岗省级补助资金</w:t>
            </w:r>
          </w:p>
        </w:tc>
        <w:tc>
          <w:tcPr>
            <w:tcW w:w="2068" w:type="dxa"/>
            <w:vAlign w:val="center"/>
          </w:tcPr>
          <w:p w14:paraId="4F9672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为学生健康成长提高高质量条件</w:t>
            </w:r>
          </w:p>
        </w:tc>
        <w:tc>
          <w:tcPr>
            <w:tcW w:w="1476" w:type="dxa"/>
            <w:vAlign w:val="center"/>
          </w:tcPr>
          <w:p w14:paraId="7E6DE5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为学生健康成长提高高质量条件</w:t>
            </w:r>
          </w:p>
        </w:tc>
        <w:tc>
          <w:tcPr>
            <w:tcW w:w="1463" w:type="dxa"/>
            <w:vAlign w:val="center"/>
          </w:tcPr>
          <w:p w14:paraId="6C726C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128F9C1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2003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790986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7</w:t>
            </w:r>
          </w:p>
        </w:tc>
        <w:tc>
          <w:tcPr>
            <w:tcW w:w="1644" w:type="dxa"/>
            <w:shd w:val="clear" w:color="auto" w:fill="auto"/>
            <w:vAlign w:val="center"/>
          </w:tcPr>
          <w:p w14:paraId="2FFDDA6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扶持青少年校园足球发展专项资金</w:t>
            </w:r>
          </w:p>
        </w:tc>
        <w:tc>
          <w:tcPr>
            <w:tcW w:w="2068" w:type="dxa"/>
            <w:vAlign w:val="center"/>
          </w:tcPr>
          <w:p w14:paraId="2E6EC8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提高学生身体素质，改善体育设施。</w:t>
            </w:r>
          </w:p>
        </w:tc>
        <w:tc>
          <w:tcPr>
            <w:tcW w:w="1476" w:type="dxa"/>
            <w:vAlign w:val="center"/>
          </w:tcPr>
          <w:p w14:paraId="2DF8937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提高学生身体素质，改善体育设施。</w:t>
            </w:r>
          </w:p>
        </w:tc>
        <w:tc>
          <w:tcPr>
            <w:tcW w:w="1463" w:type="dxa"/>
            <w:shd w:val="clear" w:color="auto" w:fill="auto"/>
            <w:vAlign w:val="center"/>
          </w:tcPr>
          <w:p w14:paraId="069002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highlight w:val="none"/>
                <w:vertAlign w:val="baseline"/>
                <w:lang w:val="en-US" w:eastAsia="zh-CN" w:bidi="ar-SA"/>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7D7EBC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67B9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46A3DF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8</w:t>
            </w:r>
          </w:p>
        </w:tc>
        <w:tc>
          <w:tcPr>
            <w:tcW w:w="1644" w:type="dxa"/>
            <w:shd w:val="clear" w:color="auto" w:fill="auto"/>
            <w:vAlign w:val="center"/>
          </w:tcPr>
          <w:p w14:paraId="04E675A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val="0"/>
                <w:bCs/>
                <w:color w:val="auto"/>
                <w:kern w:val="0"/>
                <w:sz w:val="28"/>
                <w:szCs w:val="28"/>
                <w:lang w:val="en-US" w:eastAsia="zh-CN"/>
              </w:rPr>
              <w:t>省级教师培训计划资金</w:t>
            </w:r>
          </w:p>
        </w:tc>
        <w:tc>
          <w:tcPr>
            <w:tcW w:w="2068" w:type="dxa"/>
            <w:vAlign w:val="center"/>
          </w:tcPr>
          <w:p w14:paraId="7EB1DF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提高教学质量，提升教师教学水平。</w:t>
            </w:r>
          </w:p>
        </w:tc>
        <w:tc>
          <w:tcPr>
            <w:tcW w:w="1476" w:type="dxa"/>
            <w:vAlign w:val="center"/>
          </w:tcPr>
          <w:p w14:paraId="749BF4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提高教学质量，提升教师教学水平。</w:t>
            </w:r>
          </w:p>
        </w:tc>
        <w:tc>
          <w:tcPr>
            <w:tcW w:w="1463" w:type="dxa"/>
            <w:shd w:val="clear" w:color="auto" w:fill="auto"/>
            <w:vAlign w:val="center"/>
          </w:tcPr>
          <w:p w14:paraId="29662E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highlight w:val="none"/>
                <w:vertAlign w:val="baseline"/>
                <w:lang w:val="en-US" w:eastAsia="zh-CN" w:bidi="ar-SA"/>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1C81E3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r w14:paraId="1E37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4" w:type="dxa"/>
            <w:vAlign w:val="center"/>
          </w:tcPr>
          <w:p w14:paraId="0DFF83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9</w:t>
            </w:r>
          </w:p>
        </w:tc>
        <w:tc>
          <w:tcPr>
            <w:tcW w:w="1644" w:type="dxa"/>
            <w:shd w:val="clear" w:color="auto" w:fill="auto"/>
            <w:vAlign w:val="center"/>
          </w:tcPr>
          <w:p w14:paraId="6B4EBD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8"/>
                <w:szCs w:val="28"/>
                <w:highlight w:val="none"/>
                <w:lang w:val="en-US" w:eastAsia="zh-CN" w:bidi="ar-SA"/>
              </w:rPr>
            </w:pPr>
          </w:p>
          <w:p w14:paraId="56E7E9C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b w:val="0"/>
                <w:bCs/>
                <w:color w:val="auto"/>
                <w:kern w:val="0"/>
                <w:sz w:val="28"/>
                <w:szCs w:val="28"/>
                <w:lang w:val="en-US" w:eastAsia="zh-CN"/>
              </w:rPr>
              <w:t>第一批川渝青年人才培养计划资金</w:t>
            </w:r>
          </w:p>
        </w:tc>
        <w:tc>
          <w:tcPr>
            <w:tcW w:w="2068" w:type="dxa"/>
            <w:vAlign w:val="center"/>
          </w:tcPr>
          <w:p w14:paraId="6C7E2D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培养青年人才</w:t>
            </w:r>
          </w:p>
        </w:tc>
        <w:tc>
          <w:tcPr>
            <w:tcW w:w="1476" w:type="dxa"/>
            <w:vAlign w:val="center"/>
          </w:tcPr>
          <w:p w14:paraId="371845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培养青年人才</w:t>
            </w:r>
          </w:p>
        </w:tc>
        <w:tc>
          <w:tcPr>
            <w:tcW w:w="1463" w:type="dxa"/>
            <w:shd w:val="clear" w:color="auto" w:fill="auto"/>
            <w:vAlign w:val="center"/>
          </w:tcPr>
          <w:p w14:paraId="1C7089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highlight w:val="none"/>
                <w:vertAlign w:val="baseline"/>
                <w:lang w:val="en-US" w:eastAsia="zh-CN" w:bidi="ar-SA"/>
              </w:rPr>
            </w:pPr>
            <w:r>
              <w:rPr>
                <w:rFonts w:hint="eastAsia" w:ascii="仿宋" w:hAnsi="仿宋" w:eastAsia="仿宋" w:cs="仿宋"/>
                <w:sz w:val="28"/>
                <w:szCs w:val="28"/>
                <w:highlight w:val="none"/>
                <w:vertAlign w:val="baseline"/>
                <w:lang w:val="en-US" w:eastAsia="zh-CN"/>
              </w:rPr>
              <w:t>是</w:t>
            </w:r>
          </w:p>
        </w:tc>
        <w:tc>
          <w:tcPr>
            <w:tcW w:w="1463" w:type="dxa"/>
            <w:vAlign w:val="center"/>
          </w:tcPr>
          <w:p w14:paraId="3DC11D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yellow"/>
                <w:vertAlign w:val="baseline"/>
                <w:lang w:val="en-US" w:eastAsia="zh-CN"/>
              </w:rPr>
            </w:pPr>
          </w:p>
        </w:tc>
      </w:tr>
    </w:tbl>
    <w:p w14:paraId="12B05884">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（2）项目调整</w:t>
      </w:r>
    </w:p>
    <w:p w14:paraId="07C9EE5A">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2024年本单位不涉及应采取未采取收回预算、调整目标等处置措施的部门预算阶段项目（含一次性项目）。根据《部门整体支出绩效自评打分表》的评分说明本项指标权重6分、得分6分。</w:t>
      </w:r>
    </w:p>
    <w:p w14:paraId="4F9B9B5F">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（3）执行结果</w:t>
      </w:r>
    </w:p>
    <w:p w14:paraId="32EBC834">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default" w:ascii="仿宋" w:hAnsi="仿宋" w:eastAsia="仿宋" w:cs="仿宋"/>
          <w:b w:val="0"/>
          <w:bCs w:val="0"/>
          <w:spacing w:val="0"/>
          <w:kern w:val="2"/>
          <w:sz w:val="32"/>
          <w:szCs w:val="32"/>
          <w:highlight w:val="none"/>
          <w:lang w:val="en-US" w:eastAsia="zh-CN" w:bidi="ar-SA"/>
        </w:rPr>
        <w:t>202</w:t>
      </w:r>
      <w:r>
        <w:rPr>
          <w:rFonts w:hint="eastAsia" w:ascii="仿宋" w:hAnsi="仿宋" w:eastAsia="仿宋" w:cs="仿宋"/>
          <w:b w:val="0"/>
          <w:bCs w:val="0"/>
          <w:spacing w:val="0"/>
          <w:kern w:val="2"/>
          <w:sz w:val="32"/>
          <w:szCs w:val="32"/>
          <w:highlight w:val="none"/>
          <w:lang w:val="en-US" w:eastAsia="zh-CN" w:bidi="ar-SA"/>
        </w:rPr>
        <w:t>4年本单位共实施9个项目，其中：常年项目5个，一次性项目和阶段项目4个。根据一体化系统预算可执行情况表，共6个常年项目预算结余率小于</w:t>
      </w:r>
      <w:r>
        <w:rPr>
          <w:rFonts w:hint="default" w:ascii="仿宋" w:hAnsi="仿宋" w:eastAsia="仿宋" w:cs="仿宋"/>
          <w:b w:val="0"/>
          <w:bCs w:val="0"/>
          <w:spacing w:val="0"/>
          <w:kern w:val="2"/>
          <w:sz w:val="32"/>
          <w:szCs w:val="32"/>
          <w:highlight w:val="none"/>
          <w:lang w:val="en-US" w:eastAsia="zh-CN" w:bidi="ar-SA"/>
        </w:rPr>
        <w:t>10</w:t>
      </w:r>
      <w:r>
        <w:rPr>
          <w:rFonts w:hint="eastAsia" w:ascii="仿宋" w:hAnsi="仿宋" w:eastAsia="仿宋" w:cs="仿宋"/>
          <w:b w:val="0"/>
          <w:bCs w:val="0"/>
          <w:spacing w:val="0"/>
          <w:kern w:val="2"/>
          <w:sz w:val="32"/>
          <w:szCs w:val="32"/>
          <w:highlight w:val="none"/>
          <w:lang w:val="en-US" w:eastAsia="zh-CN" w:bidi="ar-SA"/>
        </w:rPr>
        <w:t>%，2个常年项目预算结余率大于</w:t>
      </w:r>
      <w:r>
        <w:rPr>
          <w:rFonts w:hint="default" w:ascii="仿宋" w:hAnsi="仿宋" w:eastAsia="仿宋" w:cs="仿宋"/>
          <w:b w:val="0"/>
          <w:bCs w:val="0"/>
          <w:spacing w:val="0"/>
          <w:kern w:val="2"/>
          <w:sz w:val="32"/>
          <w:szCs w:val="32"/>
          <w:highlight w:val="none"/>
          <w:lang w:val="en-US" w:eastAsia="zh-CN" w:bidi="ar-SA"/>
        </w:rPr>
        <w:t>10</w:t>
      </w:r>
      <w:r>
        <w:rPr>
          <w:rFonts w:hint="eastAsia" w:ascii="仿宋" w:hAnsi="仿宋" w:eastAsia="仿宋" w:cs="仿宋"/>
          <w:b w:val="0"/>
          <w:bCs w:val="0"/>
          <w:spacing w:val="0"/>
          <w:kern w:val="2"/>
          <w:sz w:val="32"/>
          <w:szCs w:val="32"/>
          <w:highlight w:val="none"/>
          <w:lang w:val="en-US" w:eastAsia="zh-CN" w:bidi="ar-SA"/>
        </w:rPr>
        <w:t>%；共3个一次性项目和阶段项目预算结余率小于</w:t>
      </w:r>
      <w:r>
        <w:rPr>
          <w:rFonts w:hint="default" w:ascii="仿宋" w:hAnsi="仿宋" w:eastAsia="仿宋" w:cs="仿宋"/>
          <w:b w:val="0"/>
          <w:bCs w:val="0"/>
          <w:spacing w:val="0"/>
          <w:kern w:val="2"/>
          <w:sz w:val="32"/>
          <w:szCs w:val="32"/>
          <w:highlight w:val="none"/>
          <w:lang w:val="en-US" w:eastAsia="zh-CN" w:bidi="ar-SA"/>
        </w:rPr>
        <w:t>10</w:t>
      </w:r>
      <w:r>
        <w:rPr>
          <w:rFonts w:hint="eastAsia" w:ascii="仿宋" w:hAnsi="仿宋" w:eastAsia="仿宋" w:cs="仿宋"/>
          <w:b w:val="0"/>
          <w:bCs w:val="0"/>
          <w:spacing w:val="0"/>
          <w:kern w:val="2"/>
          <w:sz w:val="32"/>
          <w:szCs w:val="32"/>
          <w:highlight w:val="none"/>
          <w:lang w:val="en-US" w:eastAsia="zh-CN" w:bidi="ar-SA"/>
        </w:rPr>
        <w:t>%，1个一次性项目和阶段年项目预算结余率大于</w:t>
      </w:r>
      <w:r>
        <w:rPr>
          <w:rFonts w:hint="default" w:ascii="仿宋" w:hAnsi="仿宋" w:eastAsia="仿宋" w:cs="仿宋"/>
          <w:b w:val="0"/>
          <w:bCs w:val="0"/>
          <w:spacing w:val="0"/>
          <w:kern w:val="2"/>
          <w:sz w:val="32"/>
          <w:szCs w:val="32"/>
          <w:highlight w:val="none"/>
          <w:lang w:val="en-US" w:eastAsia="zh-CN" w:bidi="ar-SA"/>
        </w:rPr>
        <w:t>10</w:t>
      </w:r>
      <w:r>
        <w:rPr>
          <w:rFonts w:hint="eastAsia" w:ascii="仿宋" w:hAnsi="仿宋" w:eastAsia="仿宋" w:cs="仿宋"/>
          <w:b w:val="0"/>
          <w:bCs w:val="0"/>
          <w:spacing w:val="0"/>
          <w:kern w:val="2"/>
          <w:sz w:val="32"/>
          <w:szCs w:val="32"/>
          <w:highlight w:val="none"/>
          <w:lang w:val="en-US" w:eastAsia="zh-CN" w:bidi="ar-SA"/>
        </w:rPr>
        <w:t>%。</w:t>
      </w:r>
    </w:p>
    <w:p w14:paraId="79D13D48">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根据《部门整体支出绩效自评打分表》的评分说明本项指标权重4分、得分4分。</w:t>
      </w:r>
    </w:p>
    <w:p w14:paraId="27F126B5">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bCs/>
          <w:spacing w:val="0"/>
          <w:kern w:val="2"/>
          <w:sz w:val="32"/>
          <w:szCs w:val="32"/>
          <w:highlight w:val="none"/>
          <w:lang w:val="zh-CN" w:eastAsia="zh-CN" w:bidi="ar-SA"/>
        </w:rPr>
      </w:pPr>
      <w:r>
        <w:rPr>
          <w:rFonts w:hint="eastAsia" w:ascii="仿宋" w:hAnsi="仿宋" w:eastAsia="仿宋" w:cs="仿宋"/>
          <w:b/>
          <w:bCs/>
          <w:spacing w:val="0"/>
          <w:kern w:val="2"/>
          <w:sz w:val="32"/>
          <w:szCs w:val="32"/>
          <w:highlight w:val="none"/>
          <w:lang w:val="en-US" w:eastAsia="zh-CN" w:bidi="ar-SA"/>
        </w:rPr>
        <w:t>3.</w:t>
      </w:r>
      <w:r>
        <w:rPr>
          <w:rFonts w:hint="eastAsia" w:ascii="仿宋" w:hAnsi="仿宋" w:eastAsia="仿宋" w:cs="仿宋"/>
          <w:b/>
          <w:bCs/>
          <w:spacing w:val="0"/>
          <w:kern w:val="2"/>
          <w:sz w:val="32"/>
          <w:szCs w:val="32"/>
          <w:highlight w:val="none"/>
          <w:lang w:val="zh-CN" w:eastAsia="zh-CN" w:bidi="ar-SA"/>
        </w:rPr>
        <w:t>目标实现。</w:t>
      </w:r>
    </w:p>
    <w:p w14:paraId="3D1D9903">
      <w:pPr>
        <w:pStyle w:val="5"/>
        <w:pageBreakBefore w:val="0"/>
        <w:kinsoku/>
        <w:wordWrap/>
        <w:overflowPunct/>
        <w:topLinePunct w:val="0"/>
        <w:autoSpaceDE/>
        <w:autoSpaceDN/>
        <w:bidi w:val="0"/>
        <w:snapToGrid w:val="0"/>
        <w:spacing w:before="0" w:after="0" w:line="360" w:lineRule="auto"/>
        <w:ind w:firstLine="632" w:firstLineChars="200"/>
        <w:outlineLvl w:val="9"/>
        <w:rPr>
          <w:rFonts w:hint="default"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2024年度我单位无</w:t>
      </w:r>
      <w:r>
        <w:rPr>
          <w:rFonts w:hint="default" w:ascii="仿宋" w:hAnsi="仿宋" w:eastAsia="仿宋" w:cs="仿宋"/>
          <w:b w:val="0"/>
          <w:bCs w:val="0"/>
          <w:spacing w:val="0"/>
          <w:kern w:val="2"/>
          <w:sz w:val="32"/>
          <w:szCs w:val="32"/>
          <w:highlight w:val="none"/>
          <w:lang w:val="en-US" w:eastAsia="zh-CN" w:bidi="ar-SA"/>
        </w:rPr>
        <w:t>涉及国有资本经营预算、社会保险基金预算的，应在部门预算绩效自评报告中对完成情况进行梳理阐述。</w:t>
      </w:r>
    </w:p>
    <w:p w14:paraId="78E3164D">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（1）目标完成</w:t>
      </w:r>
    </w:p>
    <w:p w14:paraId="580A3B83">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2024年本单位共实施8个项目，财务机构抽查8个项目核查项目目标完成情况。8个项目共有8条数量指标，8条数量指标均完成目标值。根据《部门整体支出绩效自评打分表》的评分说明本项指标权重6分、得分6分。具体情况详见下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1666"/>
        <w:gridCol w:w="1124"/>
        <w:gridCol w:w="1766"/>
        <w:gridCol w:w="1294"/>
        <w:gridCol w:w="1124"/>
        <w:gridCol w:w="1153"/>
      </w:tblGrid>
      <w:tr w14:paraId="571AA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blHeader/>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091D">
            <w:pPr>
              <w:pStyle w:val="28"/>
              <w:keepNext w:val="0"/>
              <w:keepLines w:val="0"/>
              <w:pageBreakBefore w:val="0"/>
              <w:kinsoku/>
              <w:wordWrap/>
              <w:overflowPunct/>
              <w:topLinePunct w:val="0"/>
              <w:autoSpaceDE/>
              <w:autoSpaceDN/>
              <w:bidi w:val="0"/>
              <w:adjustRightInd/>
              <w:snapToGrid w:val="0"/>
              <w:spacing w:line="24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序号</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C67A">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项目名称</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0BE3">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数量指标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7787">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目标值</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13F3">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完成值</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EBC6">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目标完成情况</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E90A">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数据来源</w:t>
            </w:r>
          </w:p>
        </w:tc>
      </w:tr>
      <w:tr w14:paraId="13485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36F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1B8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现代职业教育质量提升计划资金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D2B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both"/>
              <w:textAlignment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EAAC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sz w:val="22"/>
                <w:szCs w:val="22"/>
                <w:highlight w:val="none"/>
                <w:u w:val="none"/>
                <w:lang w:val="en-US"/>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189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C10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7D7B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项目绩效目标申报表、支付凭证、项目绩效自评报告、验收报告等</w:t>
            </w:r>
          </w:p>
        </w:tc>
      </w:tr>
      <w:tr w14:paraId="12F41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155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yellow"/>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DCC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支持中等职业教育发展资金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F48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both"/>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F34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47A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248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5056F">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0CCEB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373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AAA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学生资助专项资金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FA2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both"/>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F0F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C7B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1CA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63D12">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2408E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B18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4</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6A0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教育发展专项资金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684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066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A43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0BB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F306">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106F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C50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5</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B1E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ascii="Times New Roman" w:hAnsi="Times New Roman" w:eastAsia="仿宋" w:cs="宋体"/>
                <w:bCs/>
                <w:color w:val="auto"/>
                <w:kern w:val="0"/>
                <w:sz w:val="28"/>
                <w:szCs w:val="28"/>
                <w:highlight w:val="none"/>
                <w:lang w:val="en-US" w:eastAsia="zh-CN" w:bidi="ar-SA"/>
              </w:rPr>
              <w:t>学生资助补助经费</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16C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C60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6E4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185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E13B">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3EC04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03A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6</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A24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ascii="Times New Roman" w:hAnsi="Times New Roman" w:eastAsia="仿宋" w:cs="宋体"/>
                <w:bCs/>
                <w:color w:val="auto"/>
                <w:kern w:val="0"/>
                <w:sz w:val="28"/>
                <w:szCs w:val="28"/>
                <w:highlight w:val="none"/>
                <w:lang w:val="en-US" w:eastAsia="zh-CN" w:bidi="ar-SA"/>
              </w:rPr>
              <w:t>公共卫生特别服务岗省级补助资金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4C6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岗位人数</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EAF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9A8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4D3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A942">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2F88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FFA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7</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F5C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eastAsia="仿宋" w:cs="宋体"/>
                <w:bCs/>
                <w:color w:val="auto"/>
                <w:kern w:val="0"/>
                <w:sz w:val="28"/>
                <w:szCs w:val="28"/>
                <w:highlight w:val="none"/>
                <w:lang w:val="en-US" w:eastAsia="zh-CN" w:bidi="ar-SA"/>
              </w:rPr>
              <w:t>扶持青少年校园足球发展专项资金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478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22B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73B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94E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A8F4">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00421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6A6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8</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E58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eastAsia="仿宋" w:cs="宋体"/>
                <w:bCs/>
                <w:color w:val="auto"/>
                <w:kern w:val="0"/>
                <w:sz w:val="28"/>
                <w:szCs w:val="28"/>
                <w:highlight w:val="none"/>
                <w:lang w:val="en-US" w:eastAsia="zh-CN" w:bidi="ar-SA"/>
              </w:rPr>
              <w:t>第一批川渝青年人才培养计划资金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E64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培养人数</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AB4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BDF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22A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完成</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3AE2">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bl>
    <w:p w14:paraId="7121C042">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（2）目标偏离</w:t>
      </w:r>
    </w:p>
    <w:p w14:paraId="5B011E31">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2024年本单位共实施8个项目，财务机构抽查8个项目核查项目目标完成情况。8个项目共有8条数量指标，2024年已完成预期指标值的数量指标共计8条。根据《部门整体支出绩效自评打分表》的评分说明本项指标权重6分、得分6分。具体情况详见下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1666"/>
        <w:gridCol w:w="1124"/>
        <w:gridCol w:w="1766"/>
        <w:gridCol w:w="1294"/>
        <w:gridCol w:w="1124"/>
        <w:gridCol w:w="1153"/>
      </w:tblGrid>
      <w:tr w14:paraId="6140A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blHeader/>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E7AA">
            <w:pPr>
              <w:pStyle w:val="28"/>
              <w:keepNext w:val="0"/>
              <w:keepLines w:val="0"/>
              <w:pageBreakBefore w:val="0"/>
              <w:kinsoku/>
              <w:wordWrap/>
              <w:overflowPunct/>
              <w:topLinePunct w:val="0"/>
              <w:autoSpaceDE/>
              <w:autoSpaceDN/>
              <w:bidi w:val="0"/>
              <w:adjustRightInd/>
              <w:snapToGrid w:val="0"/>
              <w:spacing w:line="24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序号</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C6F5">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项目名称</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9CE7">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数量指标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E353">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目标值</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62CC">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完成值</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9CB4">
            <w:pPr>
              <w:pStyle w:val="28"/>
              <w:keepNext w:val="0"/>
              <w:keepLines w:val="0"/>
              <w:pageBreakBefore w:val="0"/>
              <w:kinsoku/>
              <w:wordWrap/>
              <w:overflowPunct/>
              <w:topLinePunct w:val="0"/>
              <w:autoSpaceDE/>
              <w:autoSpaceDN/>
              <w:bidi w:val="0"/>
              <w:adjustRightInd/>
              <w:snapToGrid w:val="0"/>
              <w:spacing w:line="24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目标偏离度</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6D8D">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数据来源</w:t>
            </w:r>
          </w:p>
        </w:tc>
      </w:tr>
      <w:tr w14:paraId="1183E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BFD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1</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E9B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现代职业教育质量提升计划资金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846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4E0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54CF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329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default" w:ascii="仿宋" w:hAnsi="仿宋" w:eastAsia="仿宋" w:cs="仿宋"/>
                <w:i w:val="0"/>
                <w:iCs w:val="0"/>
                <w:color w:val="000000"/>
                <w:sz w:val="22"/>
                <w:szCs w:val="22"/>
                <w:highlight w:val="none"/>
                <w:u w:val="none"/>
                <w:lang w:val="en-US"/>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564A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项目绩效目标申报表、支付凭证、项目绩效自评报告、验收报告等</w:t>
            </w:r>
          </w:p>
        </w:tc>
      </w:tr>
      <w:tr w14:paraId="1030B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974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yellow"/>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2</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990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支持中等职业教育发展资金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514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585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322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99A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37F6">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52746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367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3</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750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学生资助专项资金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887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70E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13C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3F2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6D3AF">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1BB75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3DC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4</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AD2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教育发展专项资金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2FF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810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A80A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3D2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70FA">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0F67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9CD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5</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2F7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ascii="Times New Roman" w:hAnsi="Times New Roman" w:eastAsia="仿宋" w:cs="宋体"/>
                <w:bCs/>
                <w:color w:val="auto"/>
                <w:kern w:val="0"/>
                <w:sz w:val="28"/>
                <w:szCs w:val="28"/>
                <w:highlight w:val="none"/>
                <w:lang w:val="en-US" w:eastAsia="zh-CN" w:bidi="ar-SA"/>
              </w:rPr>
              <w:t>学生资助补助经费</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0F7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72B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3367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BDD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97DB">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4A0D2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0D8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6</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48A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ascii="Times New Roman" w:hAnsi="Times New Roman" w:eastAsia="仿宋" w:cs="宋体"/>
                <w:bCs/>
                <w:color w:val="auto"/>
                <w:kern w:val="0"/>
                <w:sz w:val="28"/>
                <w:szCs w:val="28"/>
                <w:highlight w:val="none"/>
                <w:lang w:val="en-US" w:eastAsia="zh-CN" w:bidi="ar-SA"/>
              </w:rPr>
              <w:t>公共卫生特别服务岗省级补助资金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169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岗位人数</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B45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789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D17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8DD1">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637A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137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7</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BCE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eastAsia="仿宋" w:cs="宋体"/>
                <w:bCs/>
                <w:color w:val="auto"/>
                <w:kern w:val="0"/>
                <w:sz w:val="28"/>
                <w:szCs w:val="28"/>
                <w:highlight w:val="none"/>
                <w:lang w:val="en-US" w:eastAsia="zh-CN" w:bidi="ar-SA"/>
              </w:rPr>
              <w:t>扶持青少年校园足球发展专项资金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9D5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sz w:val="22"/>
                <w:szCs w:val="22"/>
                <w:highlight w:val="none"/>
                <w:u w:val="none"/>
                <w:lang w:val="en-US" w:eastAsia="zh-CN"/>
              </w:rPr>
              <w:t>学生受益率</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85B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7FB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276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2CDB">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r w14:paraId="1CCE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A36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8</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42D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eastAsia="仿宋" w:cs="宋体"/>
                <w:bCs/>
                <w:color w:val="auto"/>
                <w:kern w:val="0"/>
                <w:sz w:val="28"/>
                <w:szCs w:val="28"/>
                <w:highlight w:val="none"/>
                <w:lang w:val="en-US" w:eastAsia="zh-CN" w:bidi="ar-SA"/>
              </w:rPr>
              <w:t>第一批川渝青年人才培养计划资金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92A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培养人数</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C32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1CC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8DC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C857">
            <w:pPr>
              <w:keepNext w:val="0"/>
              <w:keepLines w:val="0"/>
              <w:pageBreakBefore w:val="0"/>
              <w:suppressLineNumbers w:val="0"/>
              <w:kinsoku/>
              <w:wordWrap/>
              <w:overflowPunct/>
              <w:topLinePunct w:val="0"/>
              <w:autoSpaceDE/>
              <w:autoSpaceDN/>
              <w:bidi w:val="0"/>
              <w:adjustRightInd/>
              <w:snapToGrid w:val="0"/>
              <w:spacing w:beforeAutospacing="0" w:afterAutospacing="0" w:line="240" w:lineRule="auto"/>
              <w:ind w:left="0" w:right="0"/>
              <w:jc w:val="center"/>
              <w:rPr>
                <w:rFonts w:hint="eastAsia" w:ascii="仿宋" w:hAnsi="仿宋" w:eastAsia="仿宋" w:cs="仿宋"/>
                <w:i w:val="0"/>
                <w:iCs w:val="0"/>
                <w:color w:val="000000"/>
                <w:sz w:val="22"/>
                <w:szCs w:val="22"/>
                <w:highlight w:val="yellow"/>
                <w:u w:val="none"/>
              </w:rPr>
            </w:pPr>
          </w:p>
        </w:tc>
      </w:tr>
    </w:tbl>
    <w:p w14:paraId="3A9988FF">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eastAsia" w:ascii="仿宋" w:hAnsi="仿宋" w:eastAsia="仿宋" w:cs="仿宋"/>
          <w:b w:val="0"/>
          <w:bCs w:val="0"/>
          <w:spacing w:val="0"/>
          <w:kern w:val="2"/>
          <w:sz w:val="32"/>
          <w:szCs w:val="32"/>
          <w:highlight w:val="none"/>
          <w:lang w:val="en-US" w:eastAsia="zh-CN" w:bidi="ar-SA"/>
        </w:rPr>
        <w:t>（3）实现效果</w:t>
      </w:r>
    </w:p>
    <w:p w14:paraId="351C9D23">
      <w:pPr>
        <w:pStyle w:val="5"/>
        <w:pageBreakBefore w:val="0"/>
        <w:kinsoku/>
        <w:wordWrap/>
        <w:overflowPunct/>
        <w:topLinePunct w:val="0"/>
        <w:autoSpaceDE/>
        <w:autoSpaceDN/>
        <w:bidi w:val="0"/>
        <w:snapToGrid w:val="0"/>
        <w:spacing w:before="0" w:after="0" w:line="360" w:lineRule="auto"/>
        <w:ind w:firstLine="632" w:firstLineChars="200"/>
        <w:outlineLvl w:val="9"/>
        <w:rPr>
          <w:rFonts w:hint="eastAsia" w:ascii="仿宋" w:hAnsi="仿宋" w:eastAsia="仿宋" w:cs="仿宋"/>
          <w:b w:val="0"/>
          <w:bCs w:val="0"/>
          <w:spacing w:val="0"/>
          <w:kern w:val="2"/>
          <w:sz w:val="32"/>
          <w:szCs w:val="32"/>
          <w:highlight w:val="none"/>
          <w:lang w:val="en-US" w:eastAsia="zh-CN" w:bidi="ar-SA"/>
        </w:rPr>
      </w:pPr>
      <w:r>
        <w:rPr>
          <w:rFonts w:hint="default" w:ascii="仿宋" w:hAnsi="仿宋" w:eastAsia="仿宋" w:cs="仿宋"/>
          <w:b w:val="0"/>
          <w:bCs w:val="0"/>
          <w:spacing w:val="0"/>
          <w:kern w:val="2"/>
          <w:sz w:val="32"/>
          <w:szCs w:val="32"/>
          <w:highlight w:val="none"/>
          <w:lang w:val="en-US" w:eastAsia="zh-CN" w:bidi="ar-SA"/>
        </w:rPr>
        <w:t>202</w:t>
      </w:r>
      <w:r>
        <w:rPr>
          <w:rFonts w:hint="eastAsia" w:ascii="仿宋" w:hAnsi="仿宋" w:eastAsia="仿宋" w:cs="仿宋"/>
          <w:b w:val="0"/>
          <w:bCs w:val="0"/>
          <w:spacing w:val="0"/>
          <w:kern w:val="2"/>
          <w:sz w:val="32"/>
          <w:szCs w:val="32"/>
          <w:highlight w:val="none"/>
          <w:lang w:val="en-US" w:eastAsia="zh-CN" w:bidi="ar-SA"/>
        </w:rPr>
        <w:t>4年本部门共实施8个项目，财务机构共抽查8个项目，8个项目共有8条效益指标，经核查各类项目均实现其效果。根据《部门整体支出绩效自评打分表》的评分说明本项指标权重5分、得分5分。具体情况详见下表：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9"/>
        <w:gridCol w:w="1361"/>
        <w:gridCol w:w="1159"/>
        <w:gridCol w:w="1754"/>
        <w:gridCol w:w="1174"/>
        <w:gridCol w:w="1160"/>
        <w:gridCol w:w="1176"/>
      </w:tblGrid>
      <w:tr w14:paraId="3A60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blHeader/>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4120">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8EC7">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项目名称</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ED3C">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效益指标</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9473">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目标值</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23D1">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完成值</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6031">
            <w:pPr>
              <w:pStyle w:val="28"/>
              <w:keepNext w:val="0"/>
              <w:keepLines w:val="0"/>
              <w:pageBreakBefore w:val="0"/>
              <w:kinsoku/>
              <w:wordWrap/>
              <w:overflowPunct/>
              <w:topLinePunct w:val="0"/>
              <w:autoSpaceDE/>
              <w:autoSpaceDN/>
              <w:bidi w:val="0"/>
              <w:adjustRightInd/>
              <w:snapToGrid w:val="0"/>
              <w:spacing w:line="240" w:lineRule="auto"/>
              <w:jc w:val="center"/>
              <w:rPr>
                <w:rFonts w:hint="default"/>
                <w:b/>
                <w:bCs w:val="0"/>
                <w:color w:val="auto"/>
                <w:spacing w:val="-20"/>
                <w:sz w:val="28"/>
                <w:szCs w:val="28"/>
                <w:lang w:val="en-US" w:eastAsia="zh-CN"/>
              </w:rPr>
            </w:pPr>
            <w:r>
              <w:rPr>
                <w:rFonts w:hint="eastAsia"/>
                <w:b/>
                <w:bCs w:val="0"/>
                <w:color w:val="auto"/>
                <w:spacing w:val="-20"/>
                <w:sz w:val="28"/>
                <w:szCs w:val="28"/>
                <w:lang w:val="en-US" w:eastAsia="zh-CN"/>
              </w:rPr>
              <w:t>是否完成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EB86">
            <w:pPr>
              <w:pStyle w:val="28"/>
              <w:keepNext w:val="0"/>
              <w:keepLines w:val="0"/>
              <w:pageBreakBefore w:val="0"/>
              <w:kinsoku/>
              <w:wordWrap/>
              <w:overflowPunct/>
              <w:topLinePunct w:val="0"/>
              <w:autoSpaceDE/>
              <w:autoSpaceDN/>
              <w:bidi w:val="0"/>
              <w:adjustRightInd/>
              <w:snapToGrid w:val="0"/>
              <w:spacing w:line="240" w:lineRule="auto"/>
              <w:jc w:val="center"/>
              <w:rPr>
                <w:rFonts w:hint="eastAsia"/>
                <w:b/>
                <w:bCs w:val="0"/>
                <w:color w:val="auto"/>
                <w:spacing w:val="-20"/>
                <w:sz w:val="28"/>
                <w:szCs w:val="28"/>
                <w:lang w:val="en-US" w:eastAsia="zh-CN"/>
              </w:rPr>
            </w:pPr>
            <w:r>
              <w:rPr>
                <w:rFonts w:hint="eastAsia"/>
                <w:b/>
                <w:bCs w:val="0"/>
                <w:color w:val="auto"/>
                <w:spacing w:val="-20"/>
                <w:sz w:val="28"/>
                <w:szCs w:val="28"/>
                <w:lang w:val="en-US" w:eastAsia="zh-CN"/>
              </w:rPr>
              <w:t>数据来源</w:t>
            </w:r>
          </w:p>
        </w:tc>
      </w:tr>
      <w:tr w14:paraId="35654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8BF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DB4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zh-CN" w:eastAsia="zh-CN" w:bidi="ar-SA"/>
              </w:rPr>
            </w:pPr>
            <w:r>
              <w:rPr>
                <w:rFonts w:hint="eastAsia" w:ascii="Times New Roman" w:hAnsi="Times New Roman" w:eastAsia="仿宋" w:cs="宋体"/>
                <w:bCs/>
                <w:color w:val="auto"/>
                <w:kern w:val="0"/>
                <w:sz w:val="28"/>
                <w:szCs w:val="28"/>
                <w:highlight w:val="none"/>
                <w:lang w:val="zh-CN" w:eastAsia="zh-CN" w:bidi="ar-SA"/>
              </w:rPr>
              <w:t>现代职业教育质量提升计划资金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63F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default"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学生就业率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67D2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70D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593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完成</w:t>
            </w:r>
          </w:p>
        </w:tc>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46C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项目绩效目标申报表、支付凭证、项目绩效自评报告、验收报告等</w:t>
            </w:r>
          </w:p>
        </w:tc>
      </w:tr>
      <w:tr w14:paraId="3B848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9DD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yellow"/>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C6D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支持中等职业教育发展资金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393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学生就业率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AF2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3B8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2F3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2"/>
                <w:szCs w:val="22"/>
                <w:highlight w:val="yellow"/>
                <w:u w:val="none"/>
              </w:rPr>
            </w:pPr>
            <w:r>
              <w:rPr>
                <w:rFonts w:hint="eastAsia" w:ascii="仿宋" w:hAnsi="仿宋" w:eastAsia="仿宋" w:cs="仿宋"/>
                <w:i w:val="0"/>
                <w:iCs w:val="0"/>
                <w:color w:val="000000"/>
                <w:sz w:val="22"/>
                <w:szCs w:val="22"/>
                <w:highlight w:val="none"/>
                <w:u w:val="none"/>
                <w:lang w:val="en-US" w:eastAsia="zh-CN"/>
              </w:rPr>
              <w:t>完成</w:t>
            </w: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B9504">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r w14:paraId="356A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214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81A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en-US" w:eastAsia="zh-CN" w:bidi="ar-SA"/>
              </w:rPr>
            </w:pPr>
            <w:r>
              <w:rPr>
                <w:rFonts w:hint="eastAsia" w:ascii="Times New Roman" w:hAnsi="Times New Roman" w:eastAsia="仿宋" w:cs="宋体"/>
                <w:bCs/>
                <w:color w:val="auto"/>
                <w:kern w:val="0"/>
                <w:sz w:val="28"/>
                <w:szCs w:val="28"/>
                <w:lang w:val="en-US" w:eastAsia="zh-CN" w:bidi="ar-SA"/>
              </w:rPr>
              <w:t>学生资助专项资金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C3C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学生就业率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79A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671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3D4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83EF">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r w14:paraId="0993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9B1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4FE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lang w:val="zh-CN" w:eastAsia="zh-CN" w:bidi="ar-SA"/>
              </w:rPr>
            </w:pPr>
            <w:r>
              <w:rPr>
                <w:rFonts w:hint="eastAsia" w:ascii="Times New Roman" w:hAnsi="Times New Roman" w:eastAsia="仿宋" w:cs="宋体"/>
                <w:bCs/>
                <w:color w:val="auto"/>
                <w:kern w:val="0"/>
                <w:sz w:val="28"/>
                <w:szCs w:val="28"/>
                <w:lang w:val="zh-CN" w:eastAsia="zh-CN" w:bidi="ar-SA"/>
              </w:rPr>
              <w:t>教育发展专项资金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58D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学生就业率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C1F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59A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803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BD15">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r w14:paraId="2E789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8F8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39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ascii="Times New Roman" w:hAnsi="Times New Roman" w:eastAsia="仿宋" w:cs="宋体"/>
                <w:bCs/>
                <w:color w:val="auto"/>
                <w:kern w:val="0"/>
                <w:sz w:val="28"/>
                <w:szCs w:val="28"/>
                <w:highlight w:val="none"/>
                <w:lang w:val="en-US" w:eastAsia="zh-CN" w:bidi="ar-SA"/>
              </w:rPr>
              <w:t>学生资助补助经费</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491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sz w:val="22"/>
                <w:szCs w:val="22"/>
                <w:highlight w:val="none"/>
                <w:u w:val="none"/>
                <w:lang w:val="en-US" w:eastAsia="zh-CN"/>
              </w:rPr>
              <w:t>学生就业率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78F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247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8B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E372">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r w14:paraId="2893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74A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27C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ascii="Times New Roman" w:hAnsi="Times New Roman" w:eastAsia="仿宋" w:cs="宋体"/>
                <w:bCs/>
                <w:color w:val="auto"/>
                <w:kern w:val="0"/>
                <w:sz w:val="28"/>
                <w:szCs w:val="28"/>
                <w:highlight w:val="none"/>
                <w:lang w:val="en-US" w:eastAsia="zh-CN" w:bidi="ar-SA"/>
              </w:rPr>
              <w:t>公共卫生特别服务岗省级补助资金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862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学生健康合格率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FF6D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≥90%</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902E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534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FE2E">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r w14:paraId="7DA0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81A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7</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EC0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eastAsia="仿宋" w:cs="宋体"/>
                <w:bCs/>
                <w:color w:val="auto"/>
                <w:kern w:val="0"/>
                <w:sz w:val="28"/>
                <w:szCs w:val="28"/>
                <w:highlight w:val="none"/>
                <w:lang w:val="en-US" w:eastAsia="zh-CN" w:bidi="ar-SA"/>
              </w:rPr>
              <w:t>扶持青少年校园足球发展专项资金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286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sz w:val="22"/>
                <w:szCs w:val="22"/>
                <w:highlight w:val="none"/>
                <w:u w:val="none"/>
                <w:lang w:val="en-US" w:eastAsia="zh-CN"/>
              </w:rPr>
              <w:t>学生素质合格率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F0C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≥90%</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2FD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≥90%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1E2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73BA">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r w14:paraId="13AA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CC0A">
            <w:pPr>
              <w:keepNext w:val="0"/>
              <w:keepLines w:val="0"/>
              <w:pageBreakBefore w:val="0"/>
              <w:widowControl/>
              <w:suppressLineNumbers w:val="0"/>
              <w:shd w:val="clear"/>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8</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72B1">
            <w:pPr>
              <w:keepNext w:val="0"/>
              <w:keepLines w:val="0"/>
              <w:pageBreakBefore w:val="0"/>
              <w:widowControl/>
              <w:shd w:val="clear"/>
              <w:kinsoku/>
              <w:wordWrap/>
              <w:overflowPunct/>
              <w:topLinePunct w:val="0"/>
              <w:autoSpaceDE/>
              <w:autoSpaceDN/>
              <w:bidi w:val="0"/>
              <w:adjustRightInd/>
              <w:snapToGrid w:val="0"/>
              <w:spacing w:line="240" w:lineRule="auto"/>
              <w:jc w:val="left"/>
              <w:textAlignment w:val="auto"/>
              <w:rPr>
                <w:rFonts w:hint="eastAsia" w:ascii="Times New Roman" w:hAnsi="Times New Roman" w:eastAsia="仿宋" w:cs="宋体"/>
                <w:bCs/>
                <w:color w:val="auto"/>
                <w:kern w:val="0"/>
                <w:sz w:val="28"/>
                <w:szCs w:val="28"/>
                <w:highlight w:val="none"/>
                <w:lang w:val="en-US" w:eastAsia="zh-CN" w:bidi="ar-SA"/>
              </w:rPr>
            </w:pPr>
            <w:r>
              <w:rPr>
                <w:rFonts w:hint="eastAsia" w:eastAsia="仿宋" w:cs="宋体"/>
                <w:bCs/>
                <w:color w:val="auto"/>
                <w:kern w:val="0"/>
                <w:sz w:val="28"/>
                <w:szCs w:val="28"/>
                <w:highlight w:val="none"/>
                <w:lang w:val="en-US" w:eastAsia="zh-CN" w:bidi="ar-SA"/>
              </w:rPr>
              <w:t>第一批川渝青年人才培养计划资金</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E95E">
            <w:pPr>
              <w:keepNext w:val="0"/>
              <w:keepLines w:val="0"/>
              <w:pageBreakBefore w:val="0"/>
              <w:widowControl/>
              <w:suppressLineNumbers w:val="0"/>
              <w:shd w:val="clear"/>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培训合格率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E8BA">
            <w:pPr>
              <w:keepNext w:val="0"/>
              <w:keepLines w:val="0"/>
              <w:pageBreakBefore w:val="0"/>
              <w:widowControl/>
              <w:suppressLineNumbers w:val="0"/>
              <w:shd w:val="clear"/>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100%1</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FE0B">
            <w:pPr>
              <w:keepNext w:val="0"/>
              <w:keepLines w:val="0"/>
              <w:pageBreakBefore w:val="0"/>
              <w:widowControl/>
              <w:suppressLineNumbers w:val="0"/>
              <w:shd w:val="clear"/>
              <w:kinsoku/>
              <w:wordWrap/>
              <w:overflowPunct/>
              <w:topLinePunct w:val="0"/>
              <w:autoSpaceDE/>
              <w:autoSpaceDN/>
              <w:bidi w:val="0"/>
              <w:adjustRightInd/>
              <w:snapToGrid w:val="0"/>
              <w:spacing w:beforeAutospacing="0" w:afterAutospacing="0" w:line="240" w:lineRule="auto"/>
              <w:ind w:left="0" w:leftChars="0" w:right="0" w:rightChars="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E669">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2"/>
                <w:szCs w:val="22"/>
                <w:highlight w:val="yellow"/>
                <w:u w:val="none"/>
                <w:lang w:val="en-US" w:eastAsia="zh-CN" w:bidi="ar"/>
              </w:rPr>
            </w:pPr>
            <w:r>
              <w:rPr>
                <w:rFonts w:hint="eastAsia" w:ascii="仿宋" w:hAnsi="仿宋" w:eastAsia="仿宋" w:cs="仿宋"/>
                <w:i w:val="0"/>
                <w:iCs w:val="0"/>
                <w:color w:val="000000"/>
                <w:sz w:val="22"/>
                <w:szCs w:val="22"/>
                <w:highlight w:val="none"/>
                <w:u w:val="none"/>
                <w:lang w:val="en-US" w:eastAsia="zh-CN"/>
              </w:rPr>
              <w:t>完成</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952F">
            <w:pPr>
              <w:keepNext w:val="0"/>
              <w:keepLines w:val="0"/>
              <w:pageBreakBefore w:val="0"/>
              <w:shd w:val="clear"/>
              <w:kinsoku/>
              <w:wordWrap/>
              <w:overflowPunct/>
              <w:topLinePunct w:val="0"/>
              <w:autoSpaceDE/>
              <w:autoSpaceDN/>
              <w:bidi w:val="0"/>
              <w:adjustRightInd/>
              <w:snapToGrid w:val="0"/>
              <w:spacing w:line="240" w:lineRule="auto"/>
              <w:jc w:val="center"/>
              <w:rPr>
                <w:rFonts w:hint="eastAsia" w:ascii="仿宋" w:hAnsi="仿宋" w:eastAsia="仿宋" w:cs="仿宋"/>
                <w:i w:val="0"/>
                <w:iCs w:val="0"/>
                <w:color w:val="000000"/>
                <w:sz w:val="22"/>
                <w:szCs w:val="22"/>
                <w:highlight w:val="yellow"/>
                <w:u w:val="none"/>
              </w:rPr>
            </w:pPr>
          </w:p>
        </w:tc>
      </w:tr>
    </w:tbl>
    <w:p w14:paraId="520B4DE6">
      <w:pPr>
        <w:keepNext w:val="0"/>
        <w:keepLines w:val="0"/>
        <w:pageBreakBefore w:val="0"/>
        <w:widowControl w:val="0"/>
        <w:kinsoku/>
        <w:wordWrap/>
        <w:overflowPunct/>
        <w:topLinePunct w:val="0"/>
        <w:autoSpaceDE/>
        <w:autoSpaceDN/>
        <w:bidi w:val="0"/>
        <w:snapToGrid w:val="0"/>
        <w:spacing w:line="360" w:lineRule="auto"/>
        <w:ind w:firstLine="632" w:firstLineChars="200"/>
        <w:textAlignment w:val="auto"/>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p>
    <w:p w14:paraId="6B7C488C">
      <w:pPr>
        <w:keepNext w:val="0"/>
        <w:keepLines w:val="0"/>
        <w:pageBreakBefore w:val="0"/>
        <w:widowControl w:val="0"/>
        <w:kinsoku/>
        <w:wordWrap/>
        <w:overflowPunct/>
        <w:topLinePunct w:val="0"/>
        <w:autoSpaceDE/>
        <w:autoSpaceDN/>
        <w:bidi w:val="0"/>
        <w:snapToGrid w:val="0"/>
        <w:spacing w:line="360" w:lineRule="auto"/>
        <w:ind w:firstLine="632" w:firstLineChars="200"/>
        <w:textAlignment w:val="auto"/>
        <w:rPr>
          <w:rFonts w:hint="eastAsia" w:ascii="仿宋" w:hAnsi="仿宋" w:eastAsia="仿宋" w:cs="仿宋"/>
          <w:sz w:val="32"/>
          <w:szCs w:val="32"/>
          <w:highlight w:val="yellow"/>
          <w:u w:val="none"/>
          <w:lang w:bidi="ar"/>
        </w:rPr>
      </w:pPr>
      <w:r>
        <w:rPr>
          <w:rFonts w:hint="eastAsia" w:ascii="仿宋" w:hAnsi="仿宋" w:eastAsia="仿宋" w:cs="仿宋"/>
          <w:b w:val="0"/>
          <w:bCs/>
          <w:color w:val="auto"/>
          <w:sz w:val="32"/>
          <w:szCs w:val="32"/>
          <w:highlight w:val="none"/>
          <w:lang w:val="en-US" w:eastAsia="zh-CN"/>
        </w:rPr>
        <w:t>按上级部门的要求，2024年我单位对财务预算、决算均按财政要求准时通过政府网站和学校网站对外公开。对涉及绩效管理相关事项（包括绩效目标核查、绩效监控核查和重点绩效评价）也一并公开。此项不涉及扣分。</w:t>
      </w:r>
    </w:p>
    <w:p w14:paraId="5EE963B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632" w:firstLineChars="200"/>
        <w:contextualSpacing/>
        <w:jc w:val="left"/>
        <w:textAlignment w:val="auto"/>
        <w:outlineLvl w:val="0"/>
        <w:rPr>
          <w:rFonts w:hint="default" w:ascii="Times New Roman" w:hAnsi="Times New Roman" w:eastAsia="黑体" w:cs="Times New Roman"/>
          <w:color w:val="000000"/>
          <w:kern w:val="0"/>
          <w:sz w:val="32"/>
          <w:szCs w:val="32"/>
          <w:highlight w:val="none"/>
          <w:shd w:val="clear" w:color="auto" w:fill="FFFFFF"/>
          <w:lang w:val="zh-CN"/>
        </w:rPr>
      </w:pPr>
      <w:bookmarkStart w:id="86" w:name="_Toc31690"/>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bookmarkEnd w:id="86"/>
    </w:p>
    <w:p w14:paraId="2BF8F11B">
      <w:pPr>
        <w:keepNext w:val="0"/>
        <w:keepLines w:val="0"/>
        <w:pageBreakBefore w:val="0"/>
        <w:widowControl/>
        <w:kinsoku/>
        <w:wordWrap/>
        <w:overflowPunct/>
        <w:topLinePunct w:val="0"/>
        <w:autoSpaceDE/>
        <w:autoSpaceDN/>
        <w:bidi w:val="0"/>
        <w:adjustRightInd w:val="0"/>
        <w:snapToGrid w:val="0"/>
        <w:spacing w:line="360" w:lineRule="auto"/>
        <w:ind w:firstLine="632" w:firstLineChars="200"/>
        <w:contextualSpacing/>
        <w:jc w:val="left"/>
        <w:textAlignment w:val="auto"/>
        <w:outlineLvl w:val="1"/>
        <w:rPr>
          <w:rFonts w:hint="default" w:ascii="Times New Roman" w:hAnsi="Times New Roman" w:eastAsia="楷体_GB2312" w:cs="Times New Roman"/>
          <w:b/>
          <w:bCs/>
          <w:color w:val="000000"/>
          <w:kern w:val="0"/>
          <w:sz w:val="32"/>
          <w:szCs w:val="32"/>
          <w:highlight w:val="none"/>
          <w:shd w:val="clear" w:color="auto" w:fill="FFFFFF"/>
          <w:lang w:val="zh-CN"/>
        </w:rPr>
      </w:pPr>
      <w:bookmarkStart w:id="87" w:name="_Toc23498"/>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bookmarkEnd w:id="87"/>
    </w:p>
    <w:p w14:paraId="6779D144">
      <w:pPr>
        <w:keepNext w:val="0"/>
        <w:keepLines w:val="0"/>
        <w:pageBreakBefore w:val="0"/>
        <w:widowControl w:val="0"/>
        <w:kinsoku/>
        <w:wordWrap/>
        <w:overflowPunct/>
        <w:topLinePunct w:val="0"/>
        <w:autoSpaceDE/>
        <w:autoSpaceDN/>
        <w:bidi w:val="0"/>
        <w:snapToGrid w:val="0"/>
        <w:spacing w:line="360" w:lineRule="auto"/>
        <w:ind w:firstLine="632" w:firstLineChars="200"/>
        <w:textAlignment w:val="auto"/>
        <w:rPr>
          <w:rFonts w:hint="default"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本部门2024年度部门整体预算管理规范、一般性支出控制良好、绩效管理工作完成率100%，采购管理规范。但存在支出执行进度未达标准进度、年终预算结余率较高、人均资产变化率较大等问题，有待在以后的工作中改进，更好的为职业教育的发展做出贡献。</w:t>
      </w:r>
    </w:p>
    <w:p w14:paraId="6DC4D8AB">
      <w:pPr>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1"/>
        <w:rPr>
          <w:rFonts w:hint="default" w:ascii="Times New Roman" w:hAnsi="Times New Roman" w:eastAsia="楷体_GB2312" w:cs="Times New Roman"/>
          <w:b/>
          <w:bCs/>
          <w:color w:val="000000"/>
          <w:kern w:val="0"/>
          <w:sz w:val="32"/>
          <w:szCs w:val="32"/>
          <w:highlight w:val="none"/>
          <w:shd w:val="clear" w:color="auto" w:fill="FFFFFF"/>
          <w:lang w:val="zh-CN"/>
        </w:rPr>
      </w:pPr>
      <w:bookmarkStart w:id="88" w:name="_Toc4436"/>
      <w:r>
        <w:rPr>
          <w:rFonts w:hint="default" w:ascii="Times New Roman" w:hAnsi="Times New Roman" w:eastAsia="楷体_GB2312" w:cs="Times New Roman"/>
          <w:b/>
          <w:bCs/>
          <w:color w:val="000000"/>
          <w:kern w:val="0"/>
          <w:sz w:val="32"/>
          <w:szCs w:val="32"/>
          <w:highlight w:val="none"/>
          <w:shd w:val="clear" w:color="auto" w:fill="FFFFFF"/>
          <w:lang w:val="zh-CN"/>
        </w:rPr>
        <w:t>存在问题</w:t>
      </w:r>
      <w:bookmarkEnd w:id="88"/>
    </w:p>
    <w:p w14:paraId="321EE9D9">
      <w:pPr>
        <w:keepNext w:val="0"/>
        <w:keepLines w:val="0"/>
        <w:pageBreakBefore w:val="0"/>
        <w:widowControl w:val="0"/>
        <w:kinsoku/>
        <w:wordWrap/>
        <w:overflowPunct/>
        <w:topLinePunct w:val="0"/>
        <w:autoSpaceDE/>
        <w:autoSpaceDN/>
        <w:bidi w:val="0"/>
        <w:snapToGrid w:val="0"/>
        <w:spacing w:line="360" w:lineRule="auto"/>
        <w:ind w:firstLine="632" w:firstLineChars="200"/>
        <w:textAlignment w:val="auto"/>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学校需进一步</w:t>
      </w:r>
      <w:r>
        <w:rPr>
          <w:rFonts w:hint="eastAsia" w:ascii="仿宋" w:hAnsi="仿宋" w:eastAsia="仿宋" w:cs="仿宋"/>
          <w:b w:val="0"/>
          <w:bCs/>
          <w:color w:val="auto"/>
          <w:sz w:val="32"/>
          <w:szCs w:val="32"/>
          <w:highlight w:val="none"/>
          <w:lang w:val="zh-CN" w:eastAsia="zh-CN"/>
        </w:rPr>
        <w:t>加强用款计划的进度控制管理，对预算安排进一步规范，力求节约使用，同时严格制定了我校内部绩效管理办法，通过加强预算收支管理，不断建立健全内部管理制度，梳理内部管理流程，部门预算支出管理情况得到提升。</w:t>
      </w:r>
      <w:r>
        <w:rPr>
          <w:rFonts w:hint="eastAsia" w:ascii="仿宋" w:hAnsi="仿宋" w:eastAsia="仿宋" w:cs="仿宋"/>
          <w:b w:val="0"/>
          <w:bCs/>
          <w:color w:val="auto"/>
          <w:sz w:val="32"/>
          <w:szCs w:val="32"/>
          <w:highlight w:val="none"/>
          <w:lang w:val="en-US" w:eastAsia="zh-CN"/>
        </w:rPr>
        <w:t>2024年度采购项目未预留采购份额专门面向中小企业采购。</w:t>
      </w:r>
    </w:p>
    <w:p w14:paraId="1DE0CE4D">
      <w:pPr>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firstLine="632" w:firstLineChars="200"/>
        <w:contextualSpacing/>
        <w:jc w:val="left"/>
        <w:textAlignment w:val="auto"/>
        <w:outlineLvl w:val="1"/>
        <w:rPr>
          <w:rFonts w:hint="default" w:ascii="Times New Roman" w:hAnsi="Times New Roman" w:eastAsia="楷体_GB2312" w:cs="Times New Roman"/>
          <w:b/>
          <w:bCs/>
          <w:color w:val="000000"/>
          <w:kern w:val="0"/>
          <w:sz w:val="32"/>
          <w:szCs w:val="32"/>
          <w:highlight w:val="none"/>
          <w:shd w:val="clear" w:color="auto" w:fill="FFFFFF"/>
          <w:lang w:val="zh-CN" w:eastAsia="zh-CN"/>
        </w:rPr>
      </w:pPr>
      <w:bookmarkStart w:id="89" w:name="_Toc3524"/>
      <w:r>
        <w:rPr>
          <w:rFonts w:hint="default" w:ascii="Times New Roman" w:hAnsi="Times New Roman" w:eastAsia="楷体_GB2312" w:cs="Times New Roman"/>
          <w:b/>
          <w:bCs/>
          <w:color w:val="000000"/>
          <w:kern w:val="0"/>
          <w:sz w:val="32"/>
          <w:szCs w:val="32"/>
          <w:highlight w:val="none"/>
          <w:shd w:val="clear" w:color="auto" w:fill="FFFFFF"/>
          <w:lang w:val="zh-CN" w:eastAsia="zh-CN"/>
        </w:rPr>
        <w:t>改进建议。</w:t>
      </w:r>
      <w:bookmarkEnd w:id="89"/>
    </w:p>
    <w:p w14:paraId="3DFF4260">
      <w:pPr>
        <w:keepNext w:val="0"/>
        <w:keepLines w:val="0"/>
        <w:pageBreakBefore w:val="0"/>
        <w:widowControl w:val="0"/>
        <w:kinsoku/>
        <w:wordWrap/>
        <w:overflowPunct/>
        <w:topLinePunct w:val="0"/>
        <w:autoSpaceDE/>
        <w:autoSpaceDN/>
        <w:bidi w:val="0"/>
        <w:snapToGrid w:val="0"/>
        <w:spacing w:line="360" w:lineRule="auto"/>
        <w:ind w:firstLine="632" w:firstLineChars="200"/>
        <w:textAlignment w:val="auto"/>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进一步加强校内部机构各科室的预算管理意识，严格按照预算编制的相关制度和要求进行预算编制；全面编制预算项目，优先保障紧迫性的支出项目，尽量压缩变动性的、有控制空间的费用项目，进一步提高预算编制的科学性、严谨性和可控性。加强内部预算编制的审核和预算控制指标的下达，提高预算的合理性和准确性。</w:t>
      </w:r>
    </w:p>
    <w:p w14:paraId="7104F853">
      <w:pPr>
        <w:pStyle w:val="2"/>
        <w:rPr>
          <w:rFonts w:hint="eastAsia" w:ascii="仿宋" w:hAnsi="仿宋" w:eastAsia="仿宋" w:cs="仿宋"/>
          <w:b w:val="0"/>
          <w:bCs/>
          <w:color w:val="auto"/>
          <w:sz w:val="32"/>
          <w:szCs w:val="32"/>
          <w:highlight w:val="none"/>
          <w:lang w:val="en-US" w:eastAsia="zh-CN"/>
        </w:rPr>
      </w:pPr>
    </w:p>
    <w:p w14:paraId="0AEE2E7F">
      <w:pPr>
        <w:rPr>
          <w:rFonts w:hint="eastAsia" w:ascii="仿宋" w:hAnsi="仿宋" w:eastAsia="仿宋" w:cs="仿宋"/>
          <w:b w:val="0"/>
          <w:bCs/>
          <w:color w:val="auto"/>
          <w:sz w:val="32"/>
          <w:szCs w:val="32"/>
          <w:highlight w:val="none"/>
          <w:lang w:val="en-US" w:eastAsia="zh-CN"/>
        </w:rPr>
      </w:pPr>
    </w:p>
    <w:p w14:paraId="328E58AD">
      <w:pPr>
        <w:pStyle w:val="2"/>
        <w:rPr>
          <w:rFonts w:hint="eastAsia" w:ascii="仿宋" w:hAnsi="仿宋" w:eastAsia="仿宋" w:cs="仿宋"/>
          <w:b w:val="0"/>
          <w:bCs/>
          <w:color w:val="auto"/>
          <w:sz w:val="32"/>
          <w:szCs w:val="32"/>
          <w:highlight w:val="none"/>
          <w:lang w:val="en-US" w:eastAsia="zh-CN"/>
        </w:rPr>
      </w:pPr>
    </w:p>
    <w:p w14:paraId="3EB80545">
      <w:pPr>
        <w:rPr>
          <w:rFonts w:hint="eastAsia" w:ascii="仿宋" w:hAnsi="仿宋" w:eastAsia="仿宋" w:cs="仿宋"/>
          <w:b w:val="0"/>
          <w:bCs/>
          <w:color w:val="auto"/>
          <w:sz w:val="32"/>
          <w:szCs w:val="32"/>
          <w:highlight w:val="none"/>
          <w:lang w:val="en-US" w:eastAsia="zh-CN"/>
        </w:rPr>
      </w:pPr>
    </w:p>
    <w:p w14:paraId="70E2A5FF">
      <w:pPr>
        <w:pStyle w:val="2"/>
        <w:rPr>
          <w:rFonts w:hint="eastAsia" w:ascii="仿宋" w:hAnsi="仿宋" w:eastAsia="仿宋" w:cs="仿宋"/>
          <w:b w:val="0"/>
          <w:bCs/>
          <w:color w:val="auto"/>
          <w:sz w:val="32"/>
          <w:szCs w:val="32"/>
          <w:highlight w:val="none"/>
          <w:lang w:val="en-US" w:eastAsia="zh-CN"/>
        </w:rPr>
      </w:pPr>
    </w:p>
    <w:p w14:paraId="7E37585C">
      <w:pPr>
        <w:rPr>
          <w:rFonts w:hint="eastAsia" w:ascii="仿宋" w:hAnsi="仿宋" w:eastAsia="仿宋" w:cs="仿宋"/>
          <w:b w:val="0"/>
          <w:bCs/>
          <w:color w:val="auto"/>
          <w:sz w:val="32"/>
          <w:szCs w:val="32"/>
          <w:highlight w:val="none"/>
          <w:lang w:val="en-US" w:eastAsia="zh-CN"/>
        </w:rPr>
      </w:pPr>
    </w:p>
    <w:p w14:paraId="25D7FFB8">
      <w:pPr>
        <w:pStyle w:val="2"/>
        <w:rPr>
          <w:rFonts w:hint="eastAsia" w:ascii="仿宋" w:hAnsi="仿宋" w:eastAsia="仿宋" w:cs="仿宋"/>
          <w:b w:val="0"/>
          <w:bCs/>
          <w:color w:val="auto"/>
          <w:sz w:val="32"/>
          <w:szCs w:val="32"/>
          <w:highlight w:val="none"/>
          <w:lang w:val="en-US" w:eastAsia="zh-CN"/>
        </w:rPr>
      </w:pPr>
    </w:p>
    <w:p w14:paraId="4E15321F">
      <w:pPr>
        <w:rPr>
          <w:rFonts w:hint="eastAsia" w:ascii="仿宋" w:hAnsi="仿宋" w:eastAsia="仿宋" w:cs="仿宋"/>
          <w:b w:val="0"/>
          <w:bCs/>
          <w:color w:val="auto"/>
          <w:sz w:val="32"/>
          <w:szCs w:val="32"/>
          <w:highlight w:val="none"/>
          <w:lang w:val="en-US" w:eastAsia="zh-CN"/>
        </w:rPr>
      </w:pPr>
    </w:p>
    <w:p w14:paraId="78F417A5">
      <w:pPr>
        <w:keepNext w:val="0"/>
        <w:keepLines w:val="0"/>
        <w:pageBreakBefore w:val="0"/>
        <w:kinsoku/>
        <w:wordWrap/>
        <w:overflowPunct/>
        <w:topLinePunct w:val="0"/>
        <w:autoSpaceDE/>
        <w:autoSpaceDN/>
        <w:bidi w:val="0"/>
        <w:adjustRightInd/>
        <w:snapToGrid w:val="0"/>
        <w:spacing w:line="360" w:lineRule="auto"/>
        <w:ind w:left="0" w:leftChars="0" w:right="0" w:rightChars="0" w:firstLine="632" w:firstLineChars="200"/>
        <w:jc w:val="both"/>
        <w:textAlignment w:val="auto"/>
        <w:outlineLvl w:val="1"/>
        <w:rPr>
          <w:rFonts w:hint="default" w:ascii="Times New Roman" w:hAnsi="Times New Roman" w:eastAsia="仿宋_GB2312" w:cs="Times New Roman"/>
          <w:kern w:val="2"/>
          <w:sz w:val="32"/>
          <w:szCs w:val="24"/>
          <w:highlight w:val="none"/>
          <w:lang w:val="en-US" w:eastAsia="zh-CN" w:bidi="ar-SA"/>
        </w:rPr>
      </w:pPr>
      <w:bookmarkStart w:id="90" w:name="_Toc10300"/>
      <w:r>
        <w:rPr>
          <w:rFonts w:hint="eastAsia" w:ascii="Times New Roman" w:hAnsi="Times New Roman" w:eastAsia="黑体" w:cs="黑体"/>
          <w:kern w:val="2"/>
          <w:sz w:val="32"/>
          <w:szCs w:val="24"/>
          <w:highlight w:val="none"/>
          <w:lang w:val="en-US" w:eastAsia="zh-CN" w:bidi="ar-SA"/>
        </w:rPr>
        <w:t>附表</w:t>
      </w:r>
      <w:bookmarkEnd w:id="90"/>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99"/>
        <w:gridCol w:w="1350"/>
        <w:gridCol w:w="1230"/>
        <w:gridCol w:w="2040"/>
        <w:gridCol w:w="1275"/>
        <w:gridCol w:w="752"/>
        <w:gridCol w:w="1039"/>
        <w:gridCol w:w="850"/>
        <w:gridCol w:w="925"/>
      </w:tblGrid>
      <w:tr w14:paraId="6B2D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2" w:hRule="exact"/>
          <w:jc w:val="center"/>
        </w:trPr>
        <w:tc>
          <w:tcPr>
            <w:tcW w:w="10560" w:type="dxa"/>
            <w:gridSpan w:val="9"/>
            <w:shd w:val="clear" w:color="auto" w:fill="auto"/>
            <w:vAlign w:val="center"/>
          </w:tcPr>
          <w:p w14:paraId="7D860392">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黑体" w:cs="Times New Roman"/>
                <w:i w:val="0"/>
                <w:color w:val="000000"/>
                <w:sz w:val="28"/>
                <w:szCs w:val="28"/>
                <w:highlight w:val="none"/>
                <w:u w:val="none"/>
              </w:rPr>
            </w:pPr>
            <w:r>
              <w:rPr>
                <w:rFonts w:hint="default" w:ascii="Times New Roman" w:hAnsi="Times New Roman" w:eastAsia="方正小标宋简体" w:cs="Times New Roman"/>
                <w:i w:val="0"/>
                <w:color w:val="000000"/>
                <w:kern w:val="0"/>
                <w:sz w:val="44"/>
                <w:szCs w:val="44"/>
                <w:highlight w:val="none"/>
                <w:u w:val="none"/>
                <w:lang w:val="en-US" w:eastAsia="zh-CN" w:bidi="ar"/>
              </w:rPr>
              <w:t>部门整体支出绩效目标完成情况自评表</w:t>
            </w:r>
          </w:p>
        </w:tc>
      </w:tr>
      <w:tr w14:paraId="0399C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560" w:type="dxa"/>
            <w:gridSpan w:val="9"/>
            <w:shd w:val="clear" w:color="auto" w:fill="auto"/>
            <w:vAlign w:val="center"/>
          </w:tcPr>
          <w:p w14:paraId="37A3F20B">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8"/>
                <w:szCs w:val="28"/>
                <w:highlight w:val="none"/>
                <w:u w:val="none"/>
              </w:rPr>
            </w:pPr>
            <w:r>
              <w:rPr>
                <w:rFonts w:hint="default" w:ascii="Times New Roman" w:hAnsi="Times New Roman" w:eastAsia="宋体" w:cs="Times New Roman"/>
                <w:i w:val="0"/>
                <w:color w:val="000000"/>
                <w:kern w:val="0"/>
                <w:sz w:val="28"/>
                <w:szCs w:val="28"/>
                <w:highlight w:val="none"/>
                <w:u w:val="none"/>
                <w:lang w:val="en-US" w:eastAsia="zh-CN" w:bidi="ar"/>
              </w:rPr>
              <w:t>（202</w:t>
            </w:r>
            <w:r>
              <w:rPr>
                <w:rFonts w:hint="eastAsia" w:eastAsia="宋体" w:cs="Times New Roman"/>
                <w:i w:val="0"/>
                <w:color w:val="000000"/>
                <w:kern w:val="0"/>
                <w:sz w:val="28"/>
                <w:szCs w:val="28"/>
                <w:highlight w:val="none"/>
                <w:u w:val="none"/>
                <w:lang w:val="en-US" w:eastAsia="zh-CN" w:bidi="ar"/>
              </w:rPr>
              <w:t>4</w:t>
            </w:r>
            <w:r>
              <w:rPr>
                <w:rFonts w:hint="default" w:ascii="Times New Roman" w:hAnsi="Times New Roman" w:eastAsia="宋体" w:cs="Times New Roman"/>
                <w:i w:val="0"/>
                <w:color w:val="000000"/>
                <w:kern w:val="0"/>
                <w:sz w:val="28"/>
                <w:szCs w:val="28"/>
                <w:highlight w:val="none"/>
                <w:u w:val="none"/>
                <w:lang w:val="en-US" w:eastAsia="zh-CN" w:bidi="ar"/>
              </w:rPr>
              <w:t>年度）</w:t>
            </w:r>
          </w:p>
        </w:tc>
      </w:tr>
      <w:tr w14:paraId="28DE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560" w:type="dxa"/>
            <w:gridSpan w:val="9"/>
            <w:tcBorders>
              <w:bottom w:val="single" w:color="000000" w:sz="4" w:space="0"/>
            </w:tcBorders>
            <w:shd w:val="clear" w:color="auto" w:fill="auto"/>
            <w:vAlign w:val="center"/>
          </w:tcPr>
          <w:p w14:paraId="7A99EDAC">
            <w:pPr>
              <w:keepNext w:val="0"/>
              <w:keepLines w:val="0"/>
              <w:pageBreakBefore w:val="0"/>
              <w:widowControl/>
              <w:suppressLineNumbers w:val="0"/>
              <w:kinsoku/>
              <w:wordWrap/>
              <w:overflowPunct/>
              <w:topLinePunct w:val="0"/>
              <w:autoSpaceDE/>
              <w:autoSpaceDN/>
              <w:bidi w:val="0"/>
              <w:adjustRightInd/>
              <w:snapToGrid w:val="0"/>
              <w:spacing w:line="360" w:lineRule="auto"/>
              <w:jc w:val="right"/>
              <w:textAlignment w:val="center"/>
              <w:outlineLvl w:val="9"/>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单位：万元</w:t>
            </w:r>
          </w:p>
        </w:tc>
      </w:tr>
      <w:tr w14:paraId="029FA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36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5E7C3C">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部门名称</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1801EE">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lang w:val="en-US"/>
              </w:rPr>
            </w:pPr>
            <w:r>
              <w:rPr>
                <w:rFonts w:hint="eastAsia" w:eastAsia="宋体" w:cs="Times New Roman"/>
                <w:i w:val="0"/>
                <w:color w:val="000000"/>
                <w:kern w:val="0"/>
                <w:sz w:val="24"/>
                <w:szCs w:val="24"/>
                <w:highlight w:val="none"/>
                <w:u w:val="none"/>
                <w:lang w:val="en-US" w:eastAsia="zh-CN" w:bidi="ar"/>
              </w:rPr>
              <w:t>遂宁市职业技术学校</w:t>
            </w:r>
          </w:p>
        </w:tc>
      </w:tr>
      <w:tr w14:paraId="64CE5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A1E8B">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年度部门整体支出预算</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8B3DF">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资金总额</w:t>
            </w:r>
          </w:p>
        </w:tc>
        <w:tc>
          <w:tcPr>
            <w:tcW w:w="3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38A97">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财政拨款</w:t>
            </w:r>
          </w:p>
        </w:tc>
        <w:tc>
          <w:tcPr>
            <w:tcW w:w="356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603AEF">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其他资金</w:t>
            </w:r>
          </w:p>
          <w:p w14:paraId="42015ECA">
            <w:pPr>
              <w:pStyle w:val="2"/>
              <w:pageBreakBefore w:val="0"/>
              <w:kinsoku/>
              <w:wordWrap/>
              <w:overflowPunct/>
              <w:topLinePunct w:val="0"/>
              <w:autoSpaceDE/>
              <w:autoSpaceDN/>
              <w:bidi w:val="0"/>
              <w:snapToGrid w:val="0"/>
              <w:spacing w:line="360" w:lineRule="auto"/>
              <w:rPr>
                <w:rFonts w:hint="default"/>
              </w:rPr>
            </w:pPr>
          </w:p>
        </w:tc>
      </w:tr>
      <w:tr w14:paraId="384A9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FB683">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03A0B">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eastAsia" w:eastAsia="宋体" w:cs="Times New Roman"/>
                <w:i w:val="0"/>
                <w:color w:val="000000"/>
                <w:kern w:val="0"/>
                <w:sz w:val="24"/>
                <w:szCs w:val="24"/>
                <w:highlight w:val="none"/>
                <w:u w:val="none"/>
                <w:lang w:val="en-US" w:eastAsia="zh-CN" w:bidi="ar"/>
              </w:rPr>
              <w:t>8582.68</w:t>
            </w:r>
            <w:r>
              <w:rPr>
                <w:rFonts w:hint="default" w:ascii="Times New Roman" w:hAnsi="Times New Roman" w:eastAsia="宋体" w:cs="Times New Roman"/>
                <w:i w:val="0"/>
                <w:color w:val="000000"/>
                <w:kern w:val="0"/>
                <w:sz w:val="24"/>
                <w:szCs w:val="24"/>
                <w:highlight w:val="none"/>
                <w:u w:val="none"/>
                <w:lang w:val="en-US" w:eastAsia="zh-CN" w:bidi="ar"/>
              </w:rPr>
              <w:tab/>
            </w:r>
          </w:p>
        </w:tc>
        <w:tc>
          <w:tcPr>
            <w:tcW w:w="3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446EF">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8137.14</w:t>
            </w:r>
          </w:p>
        </w:tc>
        <w:tc>
          <w:tcPr>
            <w:tcW w:w="356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2810B6">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445.54</w:t>
            </w:r>
          </w:p>
        </w:tc>
      </w:tr>
      <w:tr w14:paraId="3AA71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AC9C">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年度总体</w:t>
            </w:r>
          </w:p>
          <w:p w14:paraId="49ADBFE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目标</w:t>
            </w:r>
          </w:p>
        </w:tc>
        <w:tc>
          <w:tcPr>
            <w:tcW w:w="946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7ACA8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全面提升信息化教学质量，确保学校招生规模并持续为地方企事业单位提供充足的专业技术人才</w:t>
            </w:r>
            <w:r>
              <w:rPr>
                <w:rFonts w:hint="default" w:ascii="Times New Roman" w:hAnsi="Times New Roman" w:eastAsia="宋体" w:cs="Times New Roman"/>
                <w:i w:val="0"/>
                <w:color w:val="000000"/>
                <w:kern w:val="0"/>
                <w:sz w:val="24"/>
                <w:szCs w:val="24"/>
                <w:highlight w:val="none"/>
                <w:u w:val="none"/>
                <w:lang w:val="en-US" w:eastAsia="zh-CN" w:bidi="ar"/>
              </w:rPr>
              <w:tab/>
            </w:r>
            <w:r>
              <w:rPr>
                <w:rFonts w:hint="default" w:ascii="Times New Roman" w:hAnsi="Times New Roman" w:eastAsia="宋体" w:cs="Times New Roman"/>
                <w:i w:val="0"/>
                <w:color w:val="000000"/>
                <w:kern w:val="0"/>
                <w:sz w:val="24"/>
                <w:szCs w:val="24"/>
                <w:highlight w:val="none"/>
                <w:u w:val="none"/>
                <w:lang w:val="en-US" w:eastAsia="zh-CN" w:bidi="ar"/>
              </w:rPr>
              <w:tab/>
            </w:r>
            <w:r>
              <w:rPr>
                <w:rFonts w:hint="default" w:ascii="Times New Roman" w:hAnsi="Times New Roman" w:eastAsia="宋体" w:cs="Times New Roman"/>
                <w:i w:val="0"/>
                <w:color w:val="000000"/>
                <w:kern w:val="0"/>
                <w:sz w:val="24"/>
                <w:szCs w:val="24"/>
                <w:highlight w:val="none"/>
                <w:u w:val="none"/>
                <w:lang w:val="en-US" w:eastAsia="zh-CN" w:bidi="ar"/>
              </w:rPr>
              <w:tab/>
            </w:r>
            <w:r>
              <w:rPr>
                <w:rFonts w:hint="default" w:ascii="Times New Roman" w:hAnsi="Times New Roman" w:eastAsia="宋体" w:cs="Times New Roman"/>
                <w:i w:val="0"/>
                <w:color w:val="000000"/>
                <w:kern w:val="0"/>
                <w:sz w:val="24"/>
                <w:szCs w:val="24"/>
                <w:highlight w:val="none"/>
                <w:u w:val="none"/>
                <w:lang w:val="en-US" w:eastAsia="zh-CN" w:bidi="ar"/>
              </w:rPr>
              <w:tab/>
            </w:r>
            <w:r>
              <w:rPr>
                <w:rFonts w:hint="default" w:ascii="Times New Roman" w:hAnsi="Times New Roman" w:eastAsia="宋体" w:cs="Times New Roman"/>
                <w:i w:val="0"/>
                <w:color w:val="000000"/>
                <w:kern w:val="0"/>
                <w:sz w:val="24"/>
                <w:szCs w:val="24"/>
                <w:highlight w:val="none"/>
                <w:u w:val="none"/>
                <w:lang w:val="en-US" w:eastAsia="zh-CN" w:bidi="ar"/>
              </w:rPr>
              <w:tab/>
            </w:r>
            <w:r>
              <w:rPr>
                <w:rFonts w:hint="default" w:ascii="Times New Roman" w:hAnsi="Times New Roman" w:eastAsia="宋体" w:cs="Times New Roman"/>
                <w:i w:val="0"/>
                <w:color w:val="000000"/>
                <w:kern w:val="0"/>
                <w:sz w:val="24"/>
                <w:szCs w:val="24"/>
                <w:highlight w:val="none"/>
                <w:u w:val="none"/>
                <w:lang w:val="en-US" w:eastAsia="zh-CN" w:bidi="ar"/>
              </w:rPr>
              <w:tab/>
            </w:r>
          </w:p>
        </w:tc>
      </w:tr>
      <w:tr w14:paraId="5B833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restart"/>
            <w:tcBorders>
              <w:top w:val="single" w:color="000000" w:sz="4" w:space="0"/>
              <w:left w:val="single" w:color="000000" w:sz="4" w:space="0"/>
              <w:right w:val="single" w:color="000000" w:sz="4" w:space="0"/>
            </w:tcBorders>
            <w:shd w:val="clear" w:color="auto" w:fill="auto"/>
            <w:vAlign w:val="center"/>
          </w:tcPr>
          <w:p w14:paraId="05CBCF21">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年度主要</w:t>
            </w:r>
          </w:p>
          <w:p w14:paraId="2220A3A6">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任务</w:t>
            </w:r>
          </w:p>
          <w:p w14:paraId="7F59C5FB">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p w14:paraId="7BE1E3AF">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0A48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任务名称</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39DBDA">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主要内容</w:t>
            </w:r>
          </w:p>
        </w:tc>
      </w:tr>
      <w:tr w14:paraId="31D7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7D5B4E28">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1547F">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党建工作领航前行</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CB6BD7">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坚强党风廉政建设及反腐败工作，深入贯彻党的二十大精神、省十二次党代会精神，落实市委教师发展大会精神，牢固树立“四个意识”，旗帜鲜明讲政治。</w:t>
            </w:r>
          </w:p>
        </w:tc>
      </w:tr>
      <w:tr w14:paraId="4106C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79D162F2">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1693C">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教学质量明显提高</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6E48FA">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升学班人数较2023年大幅增减，上线率达到90%，本科实现新的突破。</w:t>
            </w:r>
          </w:p>
        </w:tc>
      </w:tr>
      <w:tr w14:paraId="63E8F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68A5E045">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423D0">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德育成效显著提升</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2BB7AE">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持续开展“三省”德育大课堂，爱国主义教育深化推进；结合团委开展主题教育活动，学生文明礼仪、五项教育落地落实，校风、学风显著提升。</w:t>
            </w:r>
          </w:p>
        </w:tc>
      </w:tr>
      <w:tr w14:paraId="56C79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41871460">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BE582E">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办学条件持续改善</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B5A165">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坚持校园文化建设与百年文化相融合，弘毅居男生宿舍加装消防楼梯，其相楼、中山楼维护维修，篮球场、排球场、羽毛球场、乒乓球场塑胶改造，静远居一号学生宿舍前后道路改造，学术厅礼堂椅改造，学校文化建设，改善学生学习及教学办公条件。</w:t>
            </w:r>
          </w:p>
        </w:tc>
      </w:tr>
      <w:tr w14:paraId="1A6A8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45036615">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579FE">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教师培训稳步推进</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38EBA5">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与成都精沛职业培训学校签订合作计划，推进学校教师各项职业技能培训，提高教师基本功、班主任能力水平。</w:t>
            </w:r>
          </w:p>
        </w:tc>
      </w:tr>
      <w:tr w14:paraId="1E5E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488CFFD2">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30D78">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“三名工程”创建</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752016">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完成“三名工程”第三年目标任务，顺利通过终期验收。</w:t>
            </w:r>
          </w:p>
        </w:tc>
      </w:tr>
      <w:tr w14:paraId="7849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34A83FDD">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B7FD8">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信息化建设有提高</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A9F202">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完成学校网络升级，完善教师信息办公设备申购，提高信息化教学水平。</w:t>
            </w:r>
          </w:p>
        </w:tc>
      </w:tr>
      <w:tr w14:paraId="3BD9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7C6F83EB">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D960C">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产教融合深入推进</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A828B1">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持续推进校企合作，全面落地落实安安汽修厂、自留地超市校企合作项目；办好行知班、京东班、吉利精英班等学徒制合作项目。</w:t>
            </w:r>
          </w:p>
        </w:tc>
      </w:tr>
      <w:tr w14:paraId="59F09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right w:val="single" w:color="000000" w:sz="4" w:space="0"/>
            </w:tcBorders>
            <w:shd w:val="clear" w:color="auto" w:fill="auto"/>
            <w:vAlign w:val="center"/>
          </w:tcPr>
          <w:p w14:paraId="352381D0">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1EAD3">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招生宣传展现实效</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6F1478">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完成市教体局下达的招生任务，加大本地企业联系力度，推进学生本地实习实训就业工作。</w:t>
            </w:r>
          </w:p>
        </w:tc>
      </w:tr>
      <w:tr w14:paraId="62AD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left w:val="single" w:color="000000" w:sz="4" w:space="0"/>
              <w:bottom w:val="single" w:color="000000" w:sz="4" w:space="0"/>
              <w:right w:val="single" w:color="000000" w:sz="4" w:space="0"/>
            </w:tcBorders>
            <w:shd w:val="clear" w:color="auto" w:fill="auto"/>
            <w:vAlign w:val="center"/>
          </w:tcPr>
          <w:p w14:paraId="05524F0C">
            <w:pPr>
              <w:pStyle w:val="2"/>
              <w:pageBreakBefore w:val="0"/>
              <w:kinsoku/>
              <w:wordWrap/>
              <w:overflowPunct/>
              <w:topLinePunct w:val="0"/>
              <w:autoSpaceDE/>
              <w:autoSpaceDN/>
              <w:bidi w:val="0"/>
              <w:snapToGrid w:val="0"/>
              <w:spacing w:line="360" w:lineRule="auto"/>
              <w:rPr>
                <w:rFonts w:hint="default"/>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C86CF">
            <w:pPr>
              <w:keepNext w:val="0"/>
              <w:keepLines w:val="0"/>
              <w:pageBreakBefore w:val="0"/>
              <w:widowControl/>
              <w:suppressLineNumbers w:val="0"/>
              <w:kinsoku/>
              <w:wordWrap/>
              <w:overflowPunct/>
              <w:topLinePunct w:val="0"/>
              <w:autoSpaceDE/>
              <w:autoSpaceDN/>
              <w:bidi w:val="0"/>
              <w:snapToGrid w:val="0"/>
              <w:spacing w:line="360" w:lineRule="auto"/>
              <w:jc w:val="center"/>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社会培训有序推进</w:t>
            </w:r>
          </w:p>
        </w:tc>
        <w:tc>
          <w:tcPr>
            <w:tcW w:w="68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3C752B">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完成2024年教师基础技能培训及测试，社会培训。</w:t>
            </w:r>
          </w:p>
        </w:tc>
      </w:tr>
      <w:tr w14:paraId="44603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29C5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年度绩效</w:t>
            </w:r>
          </w:p>
          <w:p w14:paraId="61FC995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FEF6">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一级指标</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20B2">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二级指标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BA3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三级指标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9ADD">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绩效指标</w:t>
            </w:r>
          </w:p>
          <w:p w14:paraId="13EC5FBF">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性质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A32E">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绩效指标值</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B8EF">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绩效度量单位</w:t>
            </w:r>
          </w:p>
        </w:tc>
        <w:tc>
          <w:tcPr>
            <w:tcW w:w="850" w:type="dxa"/>
            <w:tcBorders>
              <w:top w:val="single" w:color="000000" w:sz="4" w:space="0"/>
              <w:left w:val="single" w:color="000000" w:sz="4" w:space="0"/>
              <w:bottom w:val="single" w:color="000000" w:sz="4" w:space="0"/>
            </w:tcBorders>
            <w:shd w:val="clear" w:color="auto" w:fill="auto"/>
            <w:vAlign w:val="center"/>
          </w:tcPr>
          <w:p w14:paraId="31CCAE44">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权重</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97D7">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实际完成</w:t>
            </w:r>
          </w:p>
          <w:p w14:paraId="4B65FA12">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指标值</w:t>
            </w:r>
          </w:p>
        </w:tc>
      </w:tr>
      <w:tr w14:paraId="6057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E5562">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restart"/>
            <w:tcBorders>
              <w:top w:val="single" w:color="000000" w:sz="4" w:space="0"/>
              <w:left w:val="single" w:color="000000" w:sz="4" w:space="0"/>
              <w:right w:val="single" w:color="000000" w:sz="4" w:space="0"/>
            </w:tcBorders>
            <w:shd w:val="clear" w:color="auto" w:fill="auto"/>
            <w:vAlign w:val="center"/>
          </w:tcPr>
          <w:p w14:paraId="560FAC14">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产出指标</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14:paraId="30A7020A">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数量指标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1D35">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kern w:val="2"/>
                <w:sz w:val="24"/>
                <w:szCs w:val="24"/>
                <w:highlight w:val="none"/>
                <w:u w:val="none"/>
                <w:lang w:val="en-US" w:eastAsia="zh-CN" w:bidi="ar-SA"/>
              </w:rPr>
            </w:pPr>
            <w:r>
              <w:rPr>
                <w:rFonts w:hint="eastAsia" w:ascii="宋体" w:hAnsi="宋体" w:eastAsia="宋体" w:cs="宋体"/>
                <w:color w:val="000000"/>
                <w:kern w:val="0"/>
                <w:sz w:val="20"/>
                <w:szCs w:val="20"/>
                <w:lang w:val="en-US" w:eastAsia="zh-CN" w:bidi="ar"/>
              </w:rPr>
              <w:t>全面提升教师信息化教学质量，全年教师培训质量提升合格率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FB0F">
            <w:pPr>
              <w:keepNext w:val="0"/>
              <w:keepLines w:val="0"/>
              <w:pageBreakBefore w:val="0"/>
              <w:widowControl/>
              <w:suppressLineNumbers w:val="0"/>
              <w:kinsoku/>
              <w:wordWrap/>
              <w:overflowPunct/>
              <w:topLinePunct w:val="0"/>
              <w:autoSpaceDE/>
              <w:autoSpaceDN/>
              <w:bidi w:val="0"/>
              <w:adjustRightInd/>
              <w:snapToGrid w:val="0"/>
              <w:spacing w:line="360" w:lineRule="auto"/>
              <w:ind w:firstLine="472" w:firstLineChars="200"/>
              <w:jc w:val="left"/>
              <w:textAlignment w:val="center"/>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BA55">
            <w:pPr>
              <w:keepNext w:val="0"/>
              <w:keepLines w:val="0"/>
              <w:pageBreakBefore w:val="0"/>
              <w:widowControl/>
              <w:suppressLineNumbers w:val="0"/>
              <w:kinsoku/>
              <w:wordWrap/>
              <w:overflowPunct/>
              <w:topLinePunct w:val="0"/>
              <w:autoSpaceDE/>
              <w:autoSpaceDN/>
              <w:bidi w:val="0"/>
              <w:snapToGrid w:val="0"/>
              <w:spacing w:line="360" w:lineRule="auto"/>
              <w:ind w:firstLine="236" w:firstLineChars="100"/>
              <w:jc w:val="left"/>
              <w:textAlignment w:val="center"/>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CC2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default" w:ascii="Times New Roman" w:hAnsi="Times New Roman" w:eastAsia="宋体" w:cs="Times New Roman"/>
                <w:i w:val="0"/>
                <w:color w:val="000000"/>
                <w:sz w:val="24"/>
                <w:szCs w:val="24"/>
                <w:highlight w:val="none"/>
                <w:u w:val="none"/>
              </w:rPr>
            </w:pPr>
          </w:p>
          <w:p w14:paraId="32F795CF">
            <w:pPr>
              <w:pStyle w:val="2"/>
              <w:pageBreakBefore w:val="0"/>
              <w:kinsoku/>
              <w:wordWrap/>
              <w:overflowPunct/>
              <w:topLinePunct w:val="0"/>
              <w:autoSpaceDE/>
              <w:autoSpaceDN/>
              <w:bidi w:val="0"/>
              <w:snapToGrid w:val="0"/>
              <w:spacing w:line="360" w:lineRule="auto"/>
              <w:ind w:firstLine="236" w:firstLineChars="100"/>
              <w:rPr>
                <w:rFonts w:hint="eastAsia" w:eastAsia="宋体"/>
                <w:lang w:val="en-US" w:eastAsia="zh-CN"/>
              </w:rPr>
            </w:pPr>
            <w:r>
              <w:rPr>
                <w:rFonts w:hint="eastAsia" w:ascii="Times New Roman"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FF1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left w:val="single" w:color="000000" w:sz="4" w:space="0"/>
              <w:bottom w:val="single" w:color="000000" w:sz="4" w:space="0"/>
              <w:right w:val="single" w:color="000000" w:sz="4" w:space="0"/>
            </w:tcBorders>
            <w:shd w:val="clear" w:color="auto" w:fill="auto"/>
            <w:vAlign w:val="center"/>
          </w:tcPr>
          <w:p w14:paraId="4D194CD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6119C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1F860">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right w:val="single" w:color="000000" w:sz="4" w:space="0"/>
            </w:tcBorders>
            <w:shd w:val="clear" w:color="auto" w:fill="auto"/>
            <w:vAlign w:val="center"/>
          </w:tcPr>
          <w:p w14:paraId="511870C7">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1230" w:type="dxa"/>
            <w:vMerge w:val="continue"/>
            <w:tcBorders>
              <w:left w:val="single" w:color="000000" w:sz="4" w:space="0"/>
              <w:right w:val="single" w:color="000000" w:sz="4" w:space="0"/>
            </w:tcBorders>
            <w:shd w:val="clear" w:color="auto" w:fill="auto"/>
            <w:vAlign w:val="center"/>
          </w:tcPr>
          <w:p w14:paraId="0E754D7B">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CB3B">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kern w:val="2"/>
                <w:sz w:val="24"/>
                <w:szCs w:val="24"/>
                <w:highlight w:val="none"/>
                <w:u w:val="none"/>
                <w:lang w:val="en-US" w:eastAsia="zh-CN" w:bidi="ar-SA"/>
              </w:rPr>
            </w:pPr>
            <w:r>
              <w:rPr>
                <w:rFonts w:hint="eastAsia" w:ascii="宋体" w:hAnsi="宋体" w:eastAsia="宋体" w:cs="宋体"/>
                <w:color w:val="000000"/>
                <w:kern w:val="0"/>
                <w:sz w:val="20"/>
                <w:szCs w:val="20"/>
                <w:lang w:val="en-US" w:eastAsia="zh-CN" w:bidi="ar"/>
              </w:rPr>
              <w:t>解决外聘教师完成率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4816">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C52C">
            <w:pPr>
              <w:keepNext w:val="0"/>
              <w:keepLines w:val="0"/>
              <w:pageBreakBefore w:val="0"/>
              <w:widowControl/>
              <w:suppressLineNumbers w:val="0"/>
              <w:kinsoku/>
              <w:wordWrap/>
              <w:overflowPunct/>
              <w:topLinePunct w:val="0"/>
              <w:autoSpaceDE/>
              <w:autoSpaceDN/>
              <w:bidi w:val="0"/>
              <w:snapToGrid w:val="0"/>
              <w:spacing w:line="360" w:lineRule="auto"/>
              <w:ind w:firstLine="236" w:firstLineChars="100"/>
              <w:jc w:val="left"/>
              <w:textAlignment w:val="center"/>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D8D7">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D628">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7E44">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5A51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8AE66">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right w:val="single" w:color="000000" w:sz="4" w:space="0"/>
            </w:tcBorders>
            <w:shd w:val="clear" w:color="auto" w:fill="auto"/>
            <w:vAlign w:val="center"/>
          </w:tcPr>
          <w:p w14:paraId="17B90BBB">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14:paraId="74380CF2">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086D">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kern w:val="2"/>
                <w:sz w:val="24"/>
                <w:szCs w:val="24"/>
                <w:highlight w:val="none"/>
                <w:u w:val="none"/>
                <w:lang w:val="en-US" w:eastAsia="zh-CN" w:bidi="ar-SA"/>
              </w:rPr>
            </w:pPr>
            <w:r>
              <w:rPr>
                <w:rFonts w:hint="eastAsia" w:ascii="宋体" w:hAnsi="宋体" w:eastAsia="宋体" w:cs="宋体"/>
                <w:color w:val="000000"/>
                <w:kern w:val="0"/>
                <w:sz w:val="20"/>
                <w:szCs w:val="20"/>
                <w:lang w:val="en-US" w:eastAsia="zh-CN" w:bidi="ar"/>
              </w:rPr>
              <w:t>职业技术培训，学生技能进一步提升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B4A0">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22A6">
            <w:pPr>
              <w:keepNext w:val="0"/>
              <w:keepLines w:val="0"/>
              <w:pageBreakBefore w:val="0"/>
              <w:widowControl/>
              <w:suppressLineNumbers w:val="0"/>
              <w:kinsoku/>
              <w:wordWrap/>
              <w:overflowPunct/>
              <w:topLinePunct w:val="0"/>
              <w:autoSpaceDE/>
              <w:autoSpaceDN/>
              <w:bidi w:val="0"/>
              <w:snapToGrid w:val="0"/>
              <w:spacing w:line="360" w:lineRule="auto"/>
              <w:ind w:firstLine="236" w:firstLineChars="100"/>
              <w:jc w:val="left"/>
              <w:textAlignment w:val="center"/>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AF02">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rPr>
            </w:pPr>
            <w:r>
              <w:rPr>
                <w:rFonts w:hint="eastAsia" w:ascii="Times New Roman"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4FF1">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7A9F">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6F24E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F7D27">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right w:val="single" w:color="000000" w:sz="4" w:space="0"/>
            </w:tcBorders>
            <w:shd w:val="clear" w:color="auto" w:fill="auto"/>
            <w:vAlign w:val="center"/>
          </w:tcPr>
          <w:p w14:paraId="11935749">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1230" w:type="dxa"/>
            <w:vMerge w:val="restart"/>
            <w:tcBorders>
              <w:top w:val="single" w:color="000000" w:sz="4" w:space="0"/>
              <w:left w:val="single" w:color="000000" w:sz="4" w:space="0"/>
              <w:right w:val="single" w:color="000000" w:sz="4" w:space="0"/>
            </w:tcBorders>
            <w:shd w:val="clear" w:color="auto" w:fill="auto"/>
            <w:vAlign w:val="center"/>
          </w:tcPr>
          <w:p w14:paraId="40940D63">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highlight w:val="none"/>
                <w:u w:val="none"/>
                <w:lang w:val="en-US" w:eastAsia="zh-CN" w:bidi="ar"/>
              </w:rPr>
              <w:t>质量指标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CBE7">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全面提升教师信息化教学质量，全年教师培训质量提升率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042C">
            <w:pPr>
              <w:keepNext w:val="0"/>
              <w:keepLines w:val="0"/>
              <w:pageBreakBefore w:val="0"/>
              <w:widowControl/>
              <w:suppressLineNumbers w:val="0"/>
              <w:kinsoku/>
              <w:wordWrap/>
              <w:overflowPunct/>
              <w:topLinePunct w:val="0"/>
              <w:autoSpaceDE/>
              <w:autoSpaceDN/>
              <w:bidi w:val="0"/>
              <w:snapToGrid w:val="0"/>
              <w:spacing w:line="360" w:lineRule="auto"/>
              <w:ind w:firstLine="472"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E426">
            <w:pPr>
              <w:keepNext w:val="0"/>
              <w:keepLines w:val="0"/>
              <w:pageBreakBefore w:val="0"/>
              <w:widowControl/>
              <w:suppressLineNumbers w:val="0"/>
              <w:kinsoku/>
              <w:wordWrap/>
              <w:overflowPunct/>
              <w:topLinePunct w:val="0"/>
              <w:autoSpaceDE/>
              <w:autoSpaceDN/>
              <w:bidi w:val="0"/>
              <w:snapToGrid w:val="0"/>
              <w:spacing w:line="360" w:lineRule="auto"/>
              <w:ind w:firstLine="196" w:firstLineChars="1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4798">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rPr>
            </w:pPr>
            <w:r>
              <w:rPr>
                <w:rFonts w:hint="eastAsia" w:ascii="Times New Roman"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B8D7">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2EF2">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5BDA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04E28">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right w:val="single" w:color="000000" w:sz="4" w:space="0"/>
            </w:tcBorders>
            <w:shd w:val="clear" w:color="auto" w:fill="auto"/>
            <w:vAlign w:val="center"/>
          </w:tcPr>
          <w:p w14:paraId="2ECCD0AF">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14:paraId="20BE1A4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7B01">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资金及时支付率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0A7B">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3B8E">
            <w:pPr>
              <w:keepNext w:val="0"/>
              <w:keepLines w:val="0"/>
              <w:pageBreakBefore w:val="0"/>
              <w:widowControl/>
              <w:suppressLineNumbers w:val="0"/>
              <w:kinsoku/>
              <w:wordWrap/>
              <w:overflowPunct/>
              <w:topLinePunct w:val="0"/>
              <w:autoSpaceDE/>
              <w:autoSpaceDN/>
              <w:bidi w:val="0"/>
              <w:snapToGrid w:val="0"/>
              <w:spacing w:line="360" w:lineRule="auto"/>
              <w:ind w:firstLine="236" w:firstLineChars="100"/>
              <w:jc w:val="left"/>
              <w:textAlignment w:val="center"/>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2383">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rPr>
            </w:pPr>
            <w:r>
              <w:rPr>
                <w:rFonts w:hint="eastAsia" w:ascii="Times New Roman"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B7B6">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BA02">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2F2C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3F677">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right w:val="single" w:color="000000" w:sz="4" w:space="0"/>
            </w:tcBorders>
            <w:shd w:val="clear" w:color="auto" w:fill="auto"/>
            <w:vAlign w:val="center"/>
          </w:tcPr>
          <w:p w14:paraId="7ED14A5B">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230" w:type="dxa"/>
            <w:vMerge w:val="restart"/>
            <w:tcBorders>
              <w:top w:val="single" w:color="000000" w:sz="4" w:space="0"/>
              <w:left w:val="single" w:color="000000" w:sz="4" w:space="0"/>
              <w:right w:val="single" w:color="000000" w:sz="4" w:space="0"/>
            </w:tcBorders>
            <w:shd w:val="clear" w:color="auto" w:fill="auto"/>
            <w:vAlign w:val="center"/>
          </w:tcPr>
          <w:p w14:paraId="2EA8AB59">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r>
              <w:rPr>
                <w:rFonts w:hint="eastAsia" w:eastAsia="宋体" w:cs="Times New Roman"/>
                <w:i w:val="0"/>
                <w:color w:val="000000"/>
                <w:kern w:val="0"/>
                <w:sz w:val="24"/>
                <w:szCs w:val="24"/>
                <w:highlight w:val="none"/>
                <w:u w:val="none"/>
                <w:lang w:val="en-US" w:eastAsia="zh-CN" w:bidi="ar"/>
              </w:rPr>
              <w:t>成本指标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8090">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lang w:val="en-US"/>
              </w:rPr>
            </w:pPr>
            <w:r>
              <w:rPr>
                <w:rFonts w:hint="eastAsia" w:ascii="宋体" w:hAnsi="宋体" w:eastAsia="宋体" w:cs="宋体"/>
                <w:color w:val="000000"/>
                <w:kern w:val="0"/>
                <w:sz w:val="20"/>
                <w:szCs w:val="20"/>
                <w:lang w:val="en-US" w:eastAsia="zh-CN" w:bidi="ar"/>
              </w:rPr>
              <w:t>项目建设完成率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2A16">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F357">
            <w:pPr>
              <w:keepNext w:val="0"/>
              <w:keepLines w:val="0"/>
              <w:pageBreakBefore w:val="0"/>
              <w:widowControl/>
              <w:suppressLineNumbers w:val="0"/>
              <w:kinsoku/>
              <w:wordWrap/>
              <w:overflowPunct/>
              <w:topLinePunct w:val="0"/>
              <w:autoSpaceDE/>
              <w:autoSpaceDN/>
              <w:bidi w:val="0"/>
              <w:snapToGrid w:val="0"/>
              <w:spacing w:line="360" w:lineRule="auto"/>
              <w:ind w:firstLine="236" w:firstLineChars="100"/>
              <w:jc w:val="left"/>
              <w:textAlignment w:val="center"/>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F28E">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FCC7">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2028">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6CD85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81936">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bottom w:val="single" w:color="000000" w:sz="4" w:space="0"/>
              <w:right w:val="single" w:color="000000" w:sz="4" w:space="0"/>
            </w:tcBorders>
            <w:shd w:val="clear" w:color="auto" w:fill="auto"/>
            <w:vAlign w:val="center"/>
          </w:tcPr>
          <w:p w14:paraId="363FE5F5">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14:paraId="733BEF52">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CC4B">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lang w:val="en-US"/>
              </w:rPr>
            </w:pPr>
            <w:r>
              <w:rPr>
                <w:rFonts w:hint="eastAsia" w:ascii="宋体" w:hAnsi="宋体" w:eastAsia="宋体" w:cs="宋体"/>
                <w:color w:val="000000"/>
                <w:kern w:val="0"/>
                <w:sz w:val="20"/>
                <w:szCs w:val="20"/>
                <w:lang w:val="en-US" w:eastAsia="zh-CN" w:bidi="ar"/>
              </w:rPr>
              <w:t>三名工程建设进度</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F54B">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E07A">
            <w:pPr>
              <w:keepNext w:val="0"/>
              <w:keepLines w:val="0"/>
              <w:pageBreakBefore w:val="0"/>
              <w:widowControl/>
              <w:suppressLineNumbers w:val="0"/>
              <w:kinsoku/>
              <w:wordWrap/>
              <w:overflowPunct/>
              <w:topLinePunct w:val="0"/>
              <w:autoSpaceDE/>
              <w:autoSpaceDN/>
              <w:bidi w:val="0"/>
              <w:snapToGrid w:val="0"/>
              <w:spacing w:line="360" w:lineRule="auto"/>
              <w:ind w:firstLine="236" w:firstLineChars="100"/>
              <w:jc w:val="left"/>
              <w:textAlignment w:val="center"/>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B26A">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E1C5">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0CC4">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 xml:space="preserve"> 90</w:t>
            </w:r>
          </w:p>
        </w:tc>
      </w:tr>
      <w:tr w14:paraId="6C894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84801">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restart"/>
            <w:tcBorders>
              <w:top w:val="single" w:color="000000" w:sz="4" w:space="0"/>
              <w:left w:val="single" w:color="000000" w:sz="4" w:space="0"/>
              <w:right w:val="single" w:color="000000" w:sz="4" w:space="0"/>
            </w:tcBorders>
            <w:shd w:val="clear" w:color="auto" w:fill="auto"/>
            <w:vAlign w:val="center"/>
          </w:tcPr>
          <w:p w14:paraId="5C2034F4">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满意度指标</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14:paraId="362DF7EA">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满意度指标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0031">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用人单位满意度</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0396">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1C08">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EB85">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5D4D">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1E62">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90</w:t>
            </w:r>
          </w:p>
        </w:tc>
      </w:tr>
      <w:tr w14:paraId="231A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A1AA">
            <w:pPr>
              <w:keepNext w:val="0"/>
              <w:keepLines w:val="0"/>
              <w:pageBreakBefore w:val="0"/>
              <w:widowControl/>
              <w:kinsoku/>
              <w:wordWrap/>
              <w:overflowPunct/>
              <w:topLinePunct w:val="0"/>
              <w:autoSpaceDE/>
              <w:autoSpaceDN/>
              <w:bidi w:val="0"/>
              <w:adjustRightInd/>
              <w:snapToGrid w:val="0"/>
              <w:spacing w:line="360" w:lineRule="auto"/>
              <w:jc w:val="center"/>
              <w:outlineLvl w:val="9"/>
              <w:rPr>
                <w:rFonts w:hint="default" w:ascii="Times New Roman" w:hAnsi="Times New Roman" w:eastAsia="宋体" w:cs="Times New Roman"/>
                <w:i w:val="0"/>
                <w:color w:val="000000"/>
                <w:sz w:val="24"/>
                <w:szCs w:val="24"/>
                <w:highlight w:val="none"/>
                <w:u w:val="none"/>
              </w:rPr>
            </w:pPr>
          </w:p>
        </w:tc>
        <w:tc>
          <w:tcPr>
            <w:tcW w:w="1350" w:type="dxa"/>
            <w:vMerge w:val="continue"/>
            <w:tcBorders>
              <w:left w:val="single" w:color="000000" w:sz="4" w:space="0"/>
              <w:bottom w:val="single" w:color="000000" w:sz="4" w:space="0"/>
              <w:right w:val="single" w:color="000000" w:sz="4" w:space="0"/>
            </w:tcBorders>
            <w:shd w:val="clear" w:color="auto" w:fill="auto"/>
            <w:vAlign w:val="center"/>
          </w:tcPr>
          <w:p w14:paraId="7692A678">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14:paraId="49CF52C5">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default" w:ascii="Times New Roman" w:hAnsi="Times New Roman" w:eastAsia="宋体" w:cs="Times New Roman"/>
                <w:i w:val="0"/>
                <w:color w:val="000000"/>
                <w:kern w:val="0"/>
                <w:sz w:val="24"/>
                <w:szCs w:val="24"/>
                <w:highlight w:val="none"/>
                <w:u w:val="none"/>
                <w:lang w:val="en-US" w:eastAsia="zh-CN" w:bidi="ar"/>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D4F9">
            <w:pPr>
              <w:keepNext w:val="0"/>
              <w:keepLines w:val="0"/>
              <w:pageBreakBefore w:val="0"/>
              <w:widowControl/>
              <w:suppressLineNumbers w:val="0"/>
              <w:kinsoku/>
              <w:wordWrap/>
              <w:overflowPunct/>
              <w:topLinePunct w:val="0"/>
              <w:autoSpaceDE/>
              <w:autoSpaceDN/>
              <w:bidi w:val="0"/>
              <w:snapToGrid w:val="0"/>
              <w:spacing w:line="360" w:lineRule="auto"/>
              <w:jc w:val="left"/>
              <w:textAlignment w:val="center"/>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color w:val="000000"/>
                <w:kern w:val="0"/>
                <w:sz w:val="20"/>
                <w:szCs w:val="20"/>
                <w:lang w:val="en-US" w:eastAsia="zh-CN" w:bidi="ar"/>
              </w:rPr>
              <w:t>学生满意度</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902C">
            <w:pPr>
              <w:keepNext w:val="0"/>
              <w:keepLines w:val="0"/>
              <w:pageBreakBefore w:val="0"/>
              <w:widowControl/>
              <w:kinsoku/>
              <w:wordWrap/>
              <w:overflowPunct/>
              <w:topLinePunct w:val="0"/>
              <w:autoSpaceDE/>
              <w:autoSpaceDN/>
              <w:bidi w:val="0"/>
              <w:adjustRightInd/>
              <w:snapToGrid w:val="0"/>
              <w:spacing w:line="360" w:lineRule="auto"/>
              <w:ind w:firstLine="472" w:firstLineChars="200"/>
              <w:jc w:val="left"/>
              <w:outlineLvl w:val="9"/>
              <w:rPr>
                <w:rFonts w:hint="default" w:ascii="Times New Roman" w:hAnsi="Times New Roman" w:eastAsia="宋体" w:cs="Times New Roman"/>
                <w:i w:val="0"/>
                <w:color w:val="000000"/>
                <w:sz w:val="24"/>
                <w:szCs w:val="24"/>
                <w:highlight w:val="none"/>
                <w:u w:val="none"/>
              </w:rPr>
            </w:pPr>
            <w:r>
              <w:rPr>
                <w:rFonts w:hint="eastAsia" w:ascii="宋体" w:hAnsi="宋体" w:eastAsia="宋体" w:cs="宋体"/>
                <w:i w:val="0"/>
                <w:color w:val="000000"/>
                <w:sz w:val="24"/>
                <w:szCs w:val="24"/>
                <w:u w:val="none"/>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5A35">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95</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4F59">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eastAsia"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7B1B">
            <w:pPr>
              <w:keepNext w:val="0"/>
              <w:keepLines w:val="0"/>
              <w:pageBreakBefore w:val="0"/>
              <w:widowControl/>
              <w:kinsoku/>
              <w:wordWrap/>
              <w:overflowPunct/>
              <w:topLinePunct w:val="0"/>
              <w:autoSpaceDE/>
              <w:autoSpaceDN/>
              <w:bidi w:val="0"/>
              <w:adjustRightInd/>
              <w:snapToGrid w:val="0"/>
              <w:spacing w:line="360" w:lineRule="auto"/>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F31D">
            <w:pPr>
              <w:keepNext w:val="0"/>
              <w:keepLines w:val="0"/>
              <w:pageBreakBefore w:val="0"/>
              <w:widowControl/>
              <w:kinsoku/>
              <w:wordWrap/>
              <w:overflowPunct/>
              <w:topLinePunct w:val="0"/>
              <w:autoSpaceDE/>
              <w:autoSpaceDN/>
              <w:bidi w:val="0"/>
              <w:adjustRightInd/>
              <w:snapToGrid w:val="0"/>
              <w:spacing w:line="360" w:lineRule="auto"/>
              <w:ind w:firstLine="236" w:firstLineChars="100"/>
              <w:jc w:val="left"/>
              <w:outlineLvl w:val="9"/>
              <w:rPr>
                <w:rFonts w:hint="default" w:ascii="Times New Roman" w:hAnsi="Times New Roman" w:eastAsia="宋体" w:cs="Times New Roman"/>
                <w:i w:val="0"/>
                <w:color w:val="000000"/>
                <w:sz w:val="24"/>
                <w:szCs w:val="24"/>
                <w:highlight w:val="none"/>
                <w:u w:val="none"/>
                <w:lang w:val="en-US" w:eastAsia="zh-CN"/>
              </w:rPr>
            </w:pPr>
            <w:r>
              <w:rPr>
                <w:rFonts w:hint="eastAsia" w:eastAsia="宋体" w:cs="Times New Roman"/>
                <w:i w:val="0"/>
                <w:color w:val="000000"/>
                <w:sz w:val="24"/>
                <w:szCs w:val="24"/>
                <w:highlight w:val="none"/>
                <w:u w:val="none"/>
                <w:lang w:val="en-US" w:eastAsia="zh-CN"/>
              </w:rPr>
              <w:t>95</w:t>
            </w:r>
          </w:p>
        </w:tc>
      </w:tr>
    </w:tbl>
    <w:p w14:paraId="2ED3EB7B">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firstLine="0" w:firstLineChars="0"/>
        <w:contextualSpacing/>
        <w:jc w:val="left"/>
        <w:textAlignment w:val="auto"/>
        <w:outlineLvl w:val="9"/>
        <w:rPr>
          <w:rFonts w:hint="eastAsia" w:ascii="Times New Roman" w:hAnsi="Times New Roman" w:eastAsia="仿宋_GB2312" w:cs="Times New Roman"/>
          <w:kern w:val="2"/>
          <w:sz w:val="32"/>
          <w:szCs w:val="32"/>
          <w:u w:val="none"/>
          <w:lang w:val="zh-CN" w:eastAsia="zh-CN" w:bidi="ar"/>
        </w:rPr>
      </w:pPr>
    </w:p>
    <w:p w14:paraId="303EA0A0">
      <w:pPr>
        <w:pStyle w:val="14"/>
        <w:keepNext w:val="0"/>
        <w:keepLines w:val="0"/>
        <w:pageBreakBefore w:val="0"/>
        <w:numPr>
          <w:ilvl w:val="0"/>
          <w:numId w:val="0"/>
        </w:numPr>
        <w:kinsoku/>
        <w:wordWrap/>
        <w:overflowPunct/>
        <w:topLinePunct w:val="0"/>
        <w:autoSpaceDE/>
        <w:autoSpaceDN/>
        <w:bidi w:val="0"/>
        <w:snapToGrid w:val="0"/>
        <w:spacing w:after="0" w:line="360" w:lineRule="auto"/>
        <w:textAlignment w:val="auto"/>
        <w:rPr>
          <w:rFonts w:hint="eastAsia" w:ascii="Times New Roman" w:hAnsi="Times New Roman" w:cs="Times New Roman"/>
          <w:sz w:val="32"/>
          <w:szCs w:val="32"/>
          <w:highlight w:val="yellow"/>
          <w:lang w:val="zh-CN" w:eastAsia="zh-CN"/>
        </w:rPr>
      </w:pPr>
    </w:p>
    <w:p w14:paraId="30520A65">
      <w:pPr>
        <w:pStyle w:val="6"/>
        <w:pageBreakBefore w:val="0"/>
        <w:kinsoku/>
        <w:wordWrap/>
        <w:overflowPunct/>
        <w:topLinePunct w:val="0"/>
        <w:autoSpaceDE/>
        <w:autoSpaceDN/>
        <w:bidi w:val="0"/>
        <w:snapToGrid w:val="0"/>
        <w:spacing w:beforeLines="0" w:line="360" w:lineRule="auto"/>
        <w:rPr>
          <w:rFonts w:hint="eastAsia" w:ascii="Times New Roman" w:hAnsi="Times New Roman" w:cs="宋体"/>
          <w:color w:val="FF0000"/>
          <w:kern w:val="0"/>
          <w:sz w:val="32"/>
          <w:szCs w:val="32"/>
          <w:highlight w:val="yellow"/>
          <w:shd w:val="clear" w:color="auto" w:fill="FFFFFF"/>
          <w:lang w:val="zh-CN"/>
        </w:rPr>
      </w:pPr>
    </w:p>
    <w:p w14:paraId="4CEDFB5B">
      <w:pPr>
        <w:pageBreakBefore w:val="0"/>
        <w:kinsoku/>
        <w:wordWrap/>
        <w:overflowPunct/>
        <w:topLinePunct w:val="0"/>
        <w:autoSpaceDE/>
        <w:autoSpaceDN/>
        <w:bidi w:val="0"/>
        <w:snapToGrid w:val="0"/>
        <w:spacing w:line="360" w:lineRule="auto"/>
        <w:rPr>
          <w:rFonts w:hint="eastAsia" w:ascii="Times New Roman" w:hAnsi="Times New Roman" w:eastAsia="黑体" w:cs="黑体"/>
          <w:color w:val="auto"/>
          <w:kern w:val="0"/>
          <w:sz w:val="32"/>
          <w:szCs w:val="32"/>
          <w:highlight w:val="none"/>
          <w:shd w:val="clear" w:color="auto" w:fill="FFFFFF"/>
          <w:lang w:val="zh-CN"/>
        </w:rPr>
      </w:pPr>
      <w:r>
        <w:rPr>
          <w:rFonts w:hint="eastAsia" w:ascii="Times New Roman" w:hAnsi="Times New Roman" w:eastAsia="黑体" w:cs="黑体"/>
          <w:color w:val="auto"/>
          <w:kern w:val="0"/>
          <w:sz w:val="32"/>
          <w:szCs w:val="32"/>
          <w:highlight w:val="none"/>
          <w:shd w:val="clear" w:color="auto" w:fill="FFFFFF"/>
          <w:lang w:val="zh-CN"/>
        </w:rPr>
        <w:br w:type="page"/>
      </w:r>
    </w:p>
    <w:p w14:paraId="1F3E2339">
      <w:pPr>
        <w:keepNext w:val="0"/>
        <w:keepLines w:val="0"/>
        <w:pageBreakBefore w:val="0"/>
        <w:widowControl w:val="0"/>
        <w:kinsoku/>
        <w:wordWrap/>
        <w:overflowPunct/>
        <w:topLinePunct w:val="0"/>
        <w:autoSpaceDE/>
        <w:autoSpaceDN/>
        <w:bidi w:val="0"/>
        <w:snapToGrid w:val="0"/>
        <w:spacing w:line="360" w:lineRule="auto"/>
        <w:ind w:left="0" w:leftChars="0"/>
        <w:textAlignment w:val="auto"/>
        <w:outlineLvl w:val="0"/>
        <w:rPr>
          <w:rFonts w:hint="eastAsia" w:ascii="Times New Roman" w:hAnsi="Times New Roman" w:eastAsia="黑体" w:cs="黑体"/>
          <w:color w:val="auto"/>
          <w:kern w:val="0"/>
          <w:sz w:val="32"/>
          <w:szCs w:val="32"/>
          <w:highlight w:val="none"/>
          <w:shd w:val="clear" w:color="auto" w:fill="FFFFFF"/>
          <w:lang w:val="en-US" w:eastAsia="zh-CN"/>
        </w:rPr>
      </w:pPr>
      <w:bookmarkStart w:id="91" w:name="_Toc13481"/>
      <w:r>
        <w:rPr>
          <w:rFonts w:hint="eastAsia" w:ascii="Times New Roman" w:hAnsi="Times New Roman" w:eastAsia="黑体" w:cs="黑体"/>
          <w:color w:val="auto"/>
          <w:kern w:val="0"/>
          <w:sz w:val="32"/>
          <w:szCs w:val="32"/>
          <w:highlight w:val="none"/>
          <w:shd w:val="clear" w:color="auto" w:fill="FFFFFF"/>
          <w:lang w:val="zh-CN"/>
        </w:rPr>
        <w:t>附件</w:t>
      </w:r>
      <w:r>
        <w:rPr>
          <w:rFonts w:hint="eastAsia" w:ascii="Times New Roman" w:hAnsi="Times New Roman" w:eastAsia="黑体" w:cs="黑体"/>
          <w:color w:val="auto"/>
          <w:kern w:val="0"/>
          <w:sz w:val="32"/>
          <w:szCs w:val="32"/>
          <w:highlight w:val="none"/>
          <w:shd w:val="clear" w:color="auto" w:fill="FFFFFF"/>
          <w:lang w:val="en-US" w:eastAsia="zh-CN"/>
        </w:rPr>
        <w:t>2</w:t>
      </w:r>
      <w:bookmarkEnd w:id="91"/>
    </w:p>
    <w:p w14:paraId="68292CEF">
      <w:pPr>
        <w:pStyle w:val="2"/>
        <w:rPr>
          <w:rFonts w:hint="eastAsia"/>
        </w:rPr>
      </w:pPr>
    </w:p>
    <w:p w14:paraId="54E830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遂宁市职业技术学校</w:t>
      </w:r>
    </w:p>
    <w:p w14:paraId="751E8F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关于2024年度预算项目支出绩效自评报告</w:t>
      </w:r>
    </w:p>
    <w:p w14:paraId="7EF526E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方正小标宋简体" w:hAnsi="方正小标宋简体" w:eastAsia="方正小标宋简体" w:cs="方正小标宋简体"/>
          <w:sz w:val="44"/>
          <w:szCs w:val="44"/>
          <w:lang w:val="en-US" w:eastAsia="zh-CN"/>
        </w:rPr>
      </w:pPr>
    </w:p>
    <w:p w14:paraId="5E7C5C5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市财政局:</w:t>
      </w:r>
    </w:p>
    <w:p w14:paraId="5E3FDE0E">
      <w:pPr>
        <w:keepNext w:val="0"/>
        <w:keepLines w:val="0"/>
        <w:pageBreakBefore w:val="0"/>
        <w:widowControl w:val="0"/>
        <w:kinsoku/>
        <w:wordWrap/>
        <w:overflowPunct/>
        <w:topLinePunct w:val="0"/>
        <w:autoSpaceDE/>
        <w:autoSpaceDN/>
        <w:bidi w:val="0"/>
        <w:adjustRightInd/>
        <w:snapToGrid w:val="0"/>
        <w:spacing w:line="240" w:lineRule="auto"/>
        <w:ind w:firstLine="624"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2"/>
          <w:sz w:val="32"/>
          <w:szCs w:val="32"/>
        </w:rPr>
        <w:t>根据你局《关于开展202</w:t>
      </w:r>
      <w:r>
        <w:rPr>
          <w:rFonts w:hint="eastAsia" w:ascii="仿宋_GB2312" w:hAnsi="仿宋_GB2312" w:cs="仿宋_GB2312"/>
          <w:spacing w:val="-2"/>
          <w:sz w:val="32"/>
          <w:szCs w:val="32"/>
          <w:lang w:val="en-US" w:eastAsia="zh-CN"/>
        </w:rPr>
        <w:t>5</w:t>
      </w:r>
      <w:r>
        <w:rPr>
          <w:rFonts w:hint="eastAsia" w:ascii="仿宋_GB2312" w:hAnsi="仿宋_GB2312" w:eastAsia="仿宋_GB2312" w:cs="仿宋_GB2312"/>
          <w:spacing w:val="-2"/>
          <w:sz w:val="32"/>
          <w:szCs w:val="32"/>
        </w:rPr>
        <w:t>年部门、项目、政策支出绩效自</w:t>
      </w:r>
      <w:r>
        <w:rPr>
          <w:rFonts w:hint="eastAsia" w:ascii="仿宋_GB2312" w:hAnsi="仿宋_GB2312" w:eastAsia="仿宋_GB2312" w:cs="仿宋_GB2312"/>
          <w:spacing w:val="15"/>
          <w:sz w:val="32"/>
          <w:szCs w:val="32"/>
        </w:rPr>
        <w:t>评工作的通知》(遂财绩〔202</w:t>
      </w:r>
      <w:r>
        <w:rPr>
          <w:rFonts w:hint="eastAsia" w:ascii="仿宋_GB2312" w:hAnsi="仿宋_GB2312" w:cs="仿宋_GB2312"/>
          <w:spacing w:val="15"/>
          <w:sz w:val="32"/>
          <w:szCs w:val="32"/>
          <w:lang w:val="en-US" w:eastAsia="zh-CN"/>
        </w:rPr>
        <w:t>5</w:t>
      </w:r>
      <w:r>
        <w:rPr>
          <w:rFonts w:hint="eastAsia" w:ascii="仿宋_GB2312" w:hAnsi="仿宋_GB2312" w:eastAsia="仿宋_GB2312" w:cs="仿宋_GB2312"/>
          <w:spacing w:val="15"/>
          <w:sz w:val="32"/>
          <w:szCs w:val="32"/>
        </w:rPr>
        <w:t>〕</w:t>
      </w:r>
      <w:r>
        <w:rPr>
          <w:rFonts w:hint="eastAsia" w:ascii="仿宋_GB2312" w:hAnsi="仿宋_GB2312" w:cs="仿宋_GB2312"/>
          <w:spacing w:val="15"/>
          <w:sz w:val="32"/>
          <w:szCs w:val="32"/>
          <w:lang w:val="en-US" w:eastAsia="zh-CN"/>
        </w:rPr>
        <w:t>1</w:t>
      </w:r>
      <w:r>
        <w:rPr>
          <w:rFonts w:hint="eastAsia" w:ascii="仿宋_GB2312" w:hAnsi="仿宋_GB2312" w:eastAsia="仿宋_GB2312" w:cs="仿宋_GB2312"/>
          <w:spacing w:val="15"/>
          <w:sz w:val="32"/>
          <w:szCs w:val="32"/>
        </w:rPr>
        <w:t>号)文件要求,结合职能职</w:t>
      </w:r>
      <w:r>
        <w:rPr>
          <w:rFonts w:hint="eastAsia" w:ascii="仿宋_GB2312" w:hAnsi="仿宋_GB2312" w:eastAsia="仿宋_GB2312" w:cs="仿宋_GB2312"/>
          <w:spacing w:val="4"/>
          <w:sz w:val="32"/>
          <w:szCs w:val="32"/>
        </w:rPr>
        <w:t>责和工作实际,现将我</w:t>
      </w:r>
      <w:r>
        <w:rPr>
          <w:rFonts w:hint="eastAsia" w:ascii="仿宋_GB2312" w:hAnsi="仿宋_GB2312" w:eastAsia="仿宋_GB2312" w:cs="仿宋_GB2312"/>
          <w:spacing w:val="4"/>
          <w:sz w:val="32"/>
          <w:szCs w:val="32"/>
          <w:lang w:eastAsia="zh-CN"/>
        </w:rPr>
        <w:t>校</w:t>
      </w:r>
      <w:r>
        <w:rPr>
          <w:rFonts w:hint="eastAsia" w:ascii="仿宋_GB2312" w:hAnsi="仿宋_GB2312" w:cs="仿宋_GB2312"/>
          <w:spacing w:val="4"/>
          <w:sz w:val="32"/>
          <w:szCs w:val="32"/>
          <w:lang w:val="en-US" w:eastAsia="zh-CN"/>
        </w:rPr>
        <w:t>8</w:t>
      </w:r>
      <w:r>
        <w:rPr>
          <w:rFonts w:hint="eastAsia" w:ascii="仿宋_GB2312" w:hAnsi="仿宋_GB2312" w:eastAsia="仿宋_GB2312" w:cs="仿宋_GB2312"/>
          <w:spacing w:val="4"/>
          <w:sz w:val="32"/>
          <w:szCs w:val="32"/>
        </w:rPr>
        <w:t>个部门预算项目支出绩效自评情况报</w:t>
      </w:r>
      <w:r>
        <w:rPr>
          <w:rFonts w:hint="eastAsia" w:ascii="仿宋_GB2312" w:hAnsi="仿宋_GB2312" w:eastAsia="仿宋_GB2312" w:cs="仿宋_GB2312"/>
          <w:spacing w:val="18"/>
          <w:w w:val="107"/>
          <w:sz w:val="32"/>
          <w:szCs w:val="32"/>
        </w:rPr>
        <w:t>告附后(见附件)</w:t>
      </w:r>
      <w:r>
        <w:rPr>
          <w:rFonts w:hint="eastAsia" w:ascii="仿宋_GB2312" w:hAnsi="仿宋_GB2312" w:eastAsia="仿宋_GB2312" w:cs="仿宋_GB2312"/>
          <w:spacing w:val="18"/>
          <w:w w:val="107"/>
          <w:sz w:val="32"/>
          <w:szCs w:val="32"/>
          <w:lang w:eastAsia="zh-CN"/>
        </w:rPr>
        <w:t>。</w:t>
      </w:r>
    </w:p>
    <w:p w14:paraId="1D43D4F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sz w:val="32"/>
          <w:szCs w:val="32"/>
        </w:rPr>
      </w:pPr>
    </w:p>
    <w:p w14:paraId="2FCDAEF4">
      <w:pPr>
        <w:keepNext w:val="0"/>
        <w:keepLines w:val="0"/>
        <w:pageBreakBefore w:val="0"/>
        <w:widowControl w:val="0"/>
        <w:kinsoku/>
        <w:wordWrap/>
        <w:overflowPunct/>
        <w:topLinePunct w:val="0"/>
        <w:autoSpaceDE/>
        <w:autoSpaceDN/>
        <w:bidi w:val="0"/>
        <w:adjustRightInd/>
        <w:snapToGrid w:val="0"/>
        <w:spacing w:line="240" w:lineRule="auto"/>
        <w:ind w:firstLine="472" w:firstLineChars="200"/>
        <w:textAlignment w:val="auto"/>
        <w:rPr>
          <w:rFonts w:hint="eastAsia" w:ascii="仿宋_GB2312" w:hAnsi="仿宋_GB2312" w:eastAsia="仿宋_GB2312" w:cs="仿宋_GB2312"/>
          <w:spacing w:val="-20"/>
          <w:position w:val="0"/>
          <w:sz w:val="28"/>
          <w:szCs w:val="28"/>
          <w:lang w:val="en-US" w:eastAsia="zh-CN"/>
        </w:rPr>
      </w:pPr>
      <w:r>
        <w:rPr>
          <w:rFonts w:hint="eastAsia" w:ascii="仿宋_GB2312" w:hAnsi="仿宋_GB2312" w:eastAsia="仿宋_GB2312" w:cs="仿宋_GB2312"/>
          <w:spacing w:val="-20"/>
          <w:position w:val="0"/>
          <w:sz w:val="28"/>
          <w:szCs w:val="28"/>
        </w:rPr>
        <w:t>附件</w:t>
      </w:r>
      <w:r>
        <w:rPr>
          <w:rFonts w:hint="eastAsia" w:ascii="仿宋_GB2312" w:hAnsi="仿宋_GB2312" w:cs="仿宋_GB2312"/>
          <w:spacing w:val="-20"/>
          <w:position w:val="0"/>
          <w:sz w:val="28"/>
          <w:szCs w:val="28"/>
          <w:lang w:eastAsia="zh-CN"/>
        </w:rPr>
        <w:t>：</w:t>
      </w:r>
      <w:r>
        <w:rPr>
          <w:rFonts w:hint="eastAsia" w:ascii="仿宋_GB2312" w:hAnsi="仿宋_GB2312" w:eastAsia="仿宋_GB2312" w:cs="仿宋_GB2312"/>
          <w:spacing w:val="-20"/>
          <w:position w:val="0"/>
          <w:sz w:val="28"/>
          <w:szCs w:val="28"/>
        </w:rPr>
        <w:t>1.部门预算项目支出绩效自评报告(</w:t>
      </w:r>
      <w:r>
        <w:rPr>
          <w:rFonts w:hint="eastAsia" w:ascii="仿宋_GB2312" w:hAnsi="仿宋_GB2312" w:cs="仿宋_GB2312"/>
          <w:spacing w:val="-20"/>
          <w:position w:val="0"/>
          <w:sz w:val="28"/>
          <w:szCs w:val="28"/>
          <w:lang w:val="en-US" w:eastAsia="zh-CN"/>
        </w:rPr>
        <w:t>学生资助补助经费</w:t>
      </w:r>
      <w:r>
        <w:rPr>
          <w:rFonts w:hint="eastAsia" w:ascii="仿宋_GB2312" w:hAnsi="仿宋_GB2312" w:eastAsia="仿宋_GB2312" w:cs="仿宋_GB2312"/>
          <w:spacing w:val="-20"/>
          <w:position w:val="0"/>
          <w:sz w:val="28"/>
          <w:szCs w:val="28"/>
          <w:lang w:val="en-US" w:eastAsia="zh-CN"/>
        </w:rPr>
        <w:t>）</w:t>
      </w:r>
    </w:p>
    <w:p w14:paraId="6CA79CC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1180" w:firstLineChars="500"/>
        <w:textAlignment w:val="auto"/>
        <w:rPr>
          <w:rFonts w:hint="eastAsia" w:ascii="仿宋_GB2312" w:hAnsi="仿宋_GB2312" w:eastAsia="仿宋_GB2312" w:cs="仿宋_GB2312"/>
          <w:spacing w:val="-20"/>
          <w:position w:val="0"/>
          <w:sz w:val="28"/>
          <w:szCs w:val="28"/>
          <w:lang w:val="en-US" w:eastAsia="zh-CN"/>
        </w:rPr>
      </w:pPr>
      <w:r>
        <w:rPr>
          <w:rFonts w:hint="eastAsia" w:ascii="仿宋_GB2312" w:hAnsi="仿宋_GB2312" w:eastAsia="仿宋_GB2312" w:cs="仿宋_GB2312"/>
          <w:spacing w:val="-20"/>
          <w:position w:val="0"/>
          <w:sz w:val="28"/>
          <w:szCs w:val="28"/>
          <w:lang w:val="en-US" w:eastAsia="zh-CN"/>
        </w:rPr>
        <w:t>2.部门预算项目支出绩效自评报告（</w:t>
      </w:r>
      <w:r>
        <w:rPr>
          <w:rFonts w:hint="eastAsia" w:ascii="仿宋_GB2312" w:hAnsi="仿宋_GB2312" w:cs="仿宋_GB2312"/>
          <w:spacing w:val="-20"/>
          <w:position w:val="0"/>
          <w:sz w:val="28"/>
          <w:szCs w:val="28"/>
          <w:lang w:val="en-US" w:eastAsia="zh-CN"/>
        </w:rPr>
        <w:t>学生资助职校资金</w:t>
      </w:r>
      <w:r>
        <w:rPr>
          <w:rFonts w:hint="eastAsia" w:ascii="仿宋_GB2312" w:hAnsi="仿宋_GB2312" w:eastAsia="仿宋_GB2312" w:cs="仿宋_GB2312"/>
          <w:spacing w:val="-20"/>
          <w:position w:val="0"/>
          <w:sz w:val="28"/>
          <w:szCs w:val="28"/>
          <w:lang w:val="en-US" w:eastAsia="zh-CN"/>
        </w:rPr>
        <w:t>）</w:t>
      </w:r>
    </w:p>
    <w:p w14:paraId="12EB77A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1180" w:firstLineChars="500"/>
        <w:textAlignment w:val="auto"/>
        <w:rPr>
          <w:rFonts w:hint="eastAsia" w:ascii="仿宋_GB2312" w:hAnsi="仿宋_GB2312" w:eastAsia="仿宋_GB2312" w:cs="仿宋_GB2312"/>
          <w:spacing w:val="-20"/>
          <w:position w:val="0"/>
          <w:sz w:val="28"/>
          <w:szCs w:val="28"/>
          <w:lang w:val="en-US" w:eastAsia="zh-CN"/>
        </w:rPr>
      </w:pPr>
      <w:r>
        <w:rPr>
          <w:rFonts w:hint="eastAsia" w:ascii="仿宋_GB2312" w:hAnsi="仿宋_GB2312" w:eastAsia="仿宋_GB2312" w:cs="仿宋_GB2312"/>
          <w:spacing w:val="-20"/>
          <w:position w:val="0"/>
          <w:sz w:val="28"/>
          <w:szCs w:val="28"/>
          <w:lang w:val="en-US" w:eastAsia="zh-CN"/>
        </w:rPr>
        <w:t>3.部门预算项目支出绩效自评报告（教育发展专项资金）</w:t>
      </w:r>
    </w:p>
    <w:p w14:paraId="79F851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1180" w:firstLineChars="500"/>
        <w:textAlignment w:val="auto"/>
        <w:rPr>
          <w:rFonts w:hint="eastAsia" w:ascii="仿宋_GB2312" w:hAnsi="仿宋_GB2312" w:eastAsia="仿宋_GB2312" w:cs="仿宋_GB2312"/>
          <w:spacing w:val="-20"/>
          <w:position w:val="0"/>
          <w:sz w:val="28"/>
          <w:szCs w:val="28"/>
          <w:lang w:val="en-US" w:eastAsia="zh-CN"/>
        </w:rPr>
      </w:pPr>
      <w:r>
        <w:rPr>
          <w:rFonts w:hint="eastAsia" w:ascii="仿宋_GB2312" w:hAnsi="仿宋_GB2312" w:eastAsia="仿宋_GB2312" w:cs="仿宋_GB2312"/>
          <w:spacing w:val="-20"/>
          <w:position w:val="0"/>
          <w:sz w:val="28"/>
          <w:szCs w:val="28"/>
          <w:lang w:val="en-US" w:eastAsia="zh-CN"/>
        </w:rPr>
        <w:t>4.部门预算项目支出绩效自评报告（</w:t>
      </w:r>
      <w:r>
        <w:rPr>
          <w:rFonts w:hint="eastAsia" w:ascii="仿宋_GB2312" w:hAnsi="仿宋_GB2312" w:cs="仿宋_GB2312"/>
          <w:spacing w:val="-20"/>
          <w:position w:val="0"/>
          <w:sz w:val="28"/>
          <w:szCs w:val="28"/>
          <w:lang w:val="en-US" w:eastAsia="zh-CN"/>
        </w:rPr>
        <w:t>扶持青少年足球发展专项资金</w:t>
      </w:r>
      <w:r>
        <w:rPr>
          <w:rFonts w:hint="eastAsia" w:ascii="仿宋_GB2312" w:hAnsi="仿宋_GB2312" w:eastAsia="仿宋_GB2312" w:cs="仿宋_GB2312"/>
          <w:spacing w:val="-20"/>
          <w:position w:val="0"/>
          <w:sz w:val="28"/>
          <w:szCs w:val="28"/>
          <w:lang w:val="en-US" w:eastAsia="zh-CN"/>
        </w:rPr>
        <w:t>）</w:t>
      </w:r>
    </w:p>
    <w:p w14:paraId="50B17345">
      <w:pPr>
        <w:pStyle w:val="26"/>
        <w:keepNext w:val="0"/>
        <w:keepLines w:val="0"/>
        <w:pageBreakBefore w:val="0"/>
        <w:widowControl w:val="0"/>
        <w:kinsoku/>
        <w:wordWrap/>
        <w:overflowPunct/>
        <w:topLinePunct w:val="0"/>
        <w:autoSpaceDE/>
        <w:autoSpaceDN/>
        <w:bidi w:val="0"/>
        <w:adjustRightInd/>
        <w:snapToGrid w:val="0"/>
        <w:spacing w:line="240" w:lineRule="auto"/>
        <w:ind w:firstLine="1180" w:firstLineChars="500"/>
        <w:jc w:val="both"/>
        <w:rPr>
          <w:rFonts w:hint="eastAsia" w:ascii="仿宋_GB2312" w:hAnsi="仿宋_GB2312" w:cs="仿宋_GB2312"/>
          <w:color w:val="auto"/>
          <w:spacing w:val="-20"/>
          <w:position w:val="0"/>
          <w:sz w:val="28"/>
          <w:szCs w:val="28"/>
          <w:lang w:val="en-US" w:eastAsia="zh-CN"/>
        </w:rPr>
      </w:pPr>
      <w:r>
        <w:rPr>
          <w:rFonts w:hint="eastAsia" w:ascii="仿宋_GB2312" w:hAnsi="仿宋_GB2312" w:cs="仿宋_GB2312"/>
          <w:color w:val="auto"/>
          <w:spacing w:val="-20"/>
          <w:position w:val="0"/>
          <w:sz w:val="28"/>
          <w:szCs w:val="28"/>
          <w:lang w:val="en-US" w:eastAsia="zh-CN"/>
        </w:rPr>
        <w:t>5</w:t>
      </w:r>
      <w:r>
        <w:rPr>
          <w:rFonts w:hint="eastAsia" w:ascii="仿宋_GB2312" w:hAnsi="仿宋_GB2312" w:eastAsia="仿宋_GB2312" w:cs="仿宋_GB2312"/>
          <w:color w:val="auto"/>
          <w:spacing w:val="-20"/>
          <w:position w:val="0"/>
          <w:sz w:val="28"/>
          <w:szCs w:val="28"/>
          <w:lang w:val="en-US" w:eastAsia="zh-CN"/>
        </w:rPr>
        <w:t>.部门预算项目支出绩效自评报</w:t>
      </w:r>
      <w:r>
        <w:rPr>
          <w:rFonts w:hint="eastAsia" w:ascii="仿宋_GB2312" w:hAnsi="仿宋_GB2312" w:cs="仿宋_GB2312"/>
          <w:color w:val="auto"/>
          <w:spacing w:val="-20"/>
          <w:position w:val="0"/>
          <w:sz w:val="28"/>
          <w:szCs w:val="28"/>
          <w:lang w:val="en-US" w:eastAsia="zh-CN"/>
        </w:rPr>
        <w:t>告（公共卫生特别服务岗补助资金）</w:t>
      </w:r>
    </w:p>
    <w:p w14:paraId="037768AA">
      <w:pPr>
        <w:pStyle w:val="26"/>
        <w:keepNext w:val="0"/>
        <w:keepLines w:val="0"/>
        <w:pageBreakBefore w:val="0"/>
        <w:widowControl w:val="0"/>
        <w:kinsoku/>
        <w:wordWrap/>
        <w:overflowPunct/>
        <w:topLinePunct w:val="0"/>
        <w:autoSpaceDE/>
        <w:autoSpaceDN/>
        <w:bidi w:val="0"/>
        <w:adjustRightInd/>
        <w:snapToGrid w:val="0"/>
        <w:spacing w:line="240" w:lineRule="auto"/>
        <w:ind w:firstLine="1180" w:firstLineChars="500"/>
        <w:jc w:val="both"/>
        <w:rPr>
          <w:rFonts w:hint="eastAsia" w:ascii="仿宋_GB2312" w:hAnsi="仿宋_GB2312" w:cs="仿宋_GB2312"/>
          <w:color w:val="auto"/>
          <w:spacing w:val="-20"/>
          <w:position w:val="0"/>
          <w:sz w:val="28"/>
          <w:szCs w:val="28"/>
          <w:lang w:val="en-US" w:eastAsia="zh-CN"/>
        </w:rPr>
      </w:pPr>
      <w:r>
        <w:rPr>
          <w:rFonts w:hint="eastAsia" w:ascii="仿宋_GB2312" w:hAnsi="仿宋_GB2312" w:cs="仿宋_GB2312"/>
          <w:color w:val="auto"/>
          <w:spacing w:val="-20"/>
          <w:position w:val="0"/>
          <w:sz w:val="28"/>
          <w:szCs w:val="28"/>
          <w:lang w:val="en-US" w:eastAsia="zh-CN"/>
        </w:rPr>
        <w:t>6.部门预算项目支出绩效自评报告（第一批川渝青年人才培养计划资金）</w:t>
      </w:r>
    </w:p>
    <w:p w14:paraId="3200A048">
      <w:pPr>
        <w:keepNext w:val="0"/>
        <w:keepLines w:val="0"/>
        <w:pageBreakBefore w:val="0"/>
        <w:widowControl w:val="0"/>
        <w:kinsoku/>
        <w:wordWrap/>
        <w:overflowPunct/>
        <w:topLinePunct w:val="0"/>
        <w:autoSpaceDE/>
        <w:autoSpaceDN/>
        <w:bidi w:val="0"/>
        <w:adjustRightInd/>
        <w:snapToGrid w:val="0"/>
        <w:spacing w:line="240" w:lineRule="auto"/>
        <w:ind w:firstLine="1180" w:firstLineChars="500"/>
        <w:rPr>
          <w:rFonts w:hint="eastAsia" w:ascii="仿宋_GB2312" w:hAnsi="仿宋_GB2312" w:cs="仿宋_GB2312"/>
          <w:color w:val="auto"/>
          <w:spacing w:val="-20"/>
          <w:position w:val="0"/>
          <w:sz w:val="28"/>
          <w:szCs w:val="28"/>
          <w:lang w:val="en-US" w:eastAsia="zh-CN"/>
        </w:rPr>
      </w:pPr>
      <w:r>
        <w:rPr>
          <w:rFonts w:hint="eastAsia" w:ascii="仿宋_GB2312" w:hAnsi="仿宋_GB2312" w:cs="仿宋_GB2312"/>
          <w:color w:val="auto"/>
          <w:spacing w:val="-20"/>
          <w:position w:val="0"/>
          <w:sz w:val="28"/>
          <w:szCs w:val="28"/>
          <w:lang w:val="en-US" w:eastAsia="zh-CN"/>
        </w:rPr>
        <w:t>7.</w:t>
      </w:r>
      <w:r>
        <w:rPr>
          <w:rFonts w:hint="eastAsia" w:ascii="仿宋_GB2312" w:hAnsi="仿宋_GB2312" w:eastAsia="仿宋_GB2312" w:cs="仿宋_GB2312"/>
          <w:color w:val="auto"/>
          <w:spacing w:val="-20"/>
          <w:position w:val="0"/>
          <w:sz w:val="28"/>
          <w:szCs w:val="28"/>
          <w:lang w:val="en-US" w:eastAsia="zh-CN"/>
        </w:rPr>
        <w:t>部门预算项目支出绩效自评报</w:t>
      </w:r>
      <w:r>
        <w:rPr>
          <w:rFonts w:hint="eastAsia" w:ascii="仿宋_GB2312" w:hAnsi="仿宋_GB2312" w:cs="仿宋_GB2312"/>
          <w:color w:val="auto"/>
          <w:spacing w:val="-20"/>
          <w:position w:val="0"/>
          <w:sz w:val="28"/>
          <w:szCs w:val="28"/>
          <w:lang w:val="en-US" w:eastAsia="zh-CN"/>
        </w:rPr>
        <w:t>告（现代职业教育质量提升计划资金）</w:t>
      </w:r>
    </w:p>
    <w:p w14:paraId="7989B28B">
      <w:pPr>
        <w:pStyle w:val="2"/>
        <w:keepNext w:val="0"/>
        <w:keepLines w:val="0"/>
        <w:pageBreakBefore w:val="0"/>
        <w:widowControl w:val="0"/>
        <w:kinsoku/>
        <w:wordWrap/>
        <w:overflowPunct/>
        <w:topLinePunct w:val="0"/>
        <w:autoSpaceDE/>
        <w:autoSpaceDN/>
        <w:bidi w:val="0"/>
        <w:adjustRightInd/>
        <w:snapToGrid w:val="0"/>
        <w:spacing w:line="240" w:lineRule="auto"/>
        <w:ind w:firstLine="1180" w:firstLineChars="500"/>
        <w:rPr>
          <w:rFonts w:hint="default"/>
          <w:lang w:val="en-US" w:eastAsia="zh-CN"/>
        </w:rPr>
      </w:pPr>
      <w:r>
        <w:rPr>
          <w:rFonts w:hint="eastAsia" w:hAnsi="仿宋_GB2312" w:cs="仿宋_GB2312"/>
          <w:color w:val="auto"/>
          <w:spacing w:val="-20"/>
          <w:position w:val="0"/>
          <w:sz w:val="28"/>
          <w:szCs w:val="28"/>
          <w:lang w:val="en-US" w:eastAsia="zh-CN"/>
        </w:rPr>
        <w:t>8.</w:t>
      </w:r>
      <w:r>
        <w:rPr>
          <w:rFonts w:hint="eastAsia" w:ascii="仿宋_GB2312" w:hAnsi="仿宋_GB2312" w:eastAsia="仿宋_GB2312" w:cs="仿宋_GB2312"/>
          <w:color w:val="auto"/>
          <w:spacing w:val="-20"/>
          <w:position w:val="0"/>
          <w:sz w:val="28"/>
          <w:szCs w:val="28"/>
          <w:lang w:val="en-US" w:eastAsia="zh-CN"/>
        </w:rPr>
        <w:t>部门预算项目支出绩效自评报</w:t>
      </w:r>
      <w:r>
        <w:rPr>
          <w:rFonts w:hint="eastAsia" w:ascii="仿宋_GB2312" w:hAnsi="仿宋_GB2312" w:cs="仿宋_GB2312"/>
          <w:color w:val="auto"/>
          <w:spacing w:val="-20"/>
          <w:position w:val="0"/>
          <w:sz w:val="28"/>
          <w:szCs w:val="28"/>
          <w:lang w:val="en-US" w:eastAsia="zh-CN"/>
        </w:rPr>
        <w:t>告</w:t>
      </w:r>
      <w:r>
        <w:rPr>
          <w:rFonts w:hint="eastAsia" w:hAnsi="仿宋_GB2312" w:cs="仿宋_GB2312"/>
          <w:color w:val="auto"/>
          <w:spacing w:val="-20"/>
          <w:position w:val="0"/>
          <w:sz w:val="28"/>
          <w:szCs w:val="28"/>
          <w:lang w:val="en-US" w:eastAsia="zh-CN"/>
        </w:rPr>
        <w:t>（支持中等职业教育发展资金）</w:t>
      </w:r>
    </w:p>
    <w:p w14:paraId="2C9D858B">
      <w:pPr>
        <w:pStyle w:val="27"/>
        <w:pageBreakBefore w:val="0"/>
        <w:kinsoku/>
        <w:wordWrap/>
        <w:overflowPunct/>
        <w:topLinePunct w:val="0"/>
        <w:autoSpaceDE/>
        <w:autoSpaceDN/>
        <w:bidi w:val="0"/>
        <w:snapToGrid w:val="0"/>
        <w:spacing w:line="360" w:lineRule="auto"/>
        <w:rPr>
          <w:rFonts w:hint="default"/>
          <w:lang w:val="en-US" w:eastAsia="zh-CN"/>
        </w:rPr>
      </w:pPr>
    </w:p>
    <w:p w14:paraId="4749EDD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508" w:firstLine="304" w:firstLineChars="100"/>
        <w:textAlignment w:val="auto"/>
        <w:rPr>
          <w:rFonts w:hint="default" w:ascii="仿宋_GB2312" w:hAnsi="仿宋_GB2312" w:eastAsia="仿宋_GB2312" w:cs="仿宋_GB2312"/>
          <w:spacing w:val="-6"/>
          <w:position w:val="18"/>
          <w:sz w:val="32"/>
          <w:szCs w:val="32"/>
          <w:lang w:val="en-US" w:eastAsia="zh-CN"/>
        </w:rPr>
      </w:pPr>
    </w:p>
    <w:p w14:paraId="66CED4C6">
      <w:pPr>
        <w:pStyle w:val="26"/>
        <w:pageBreakBefore w:val="0"/>
        <w:kinsoku/>
        <w:wordWrap/>
        <w:overflowPunct/>
        <w:topLinePunct w:val="0"/>
        <w:autoSpaceDE/>
        <w:autoSpaceDN/>
        <w:bidi w:val="0"/>
        <w:snapToGrid w:val="0"/>
        <w:spacing w:line="360" w:lineRule="auto"/>
        <w:rPr>
          <w:rFonts w:hint="default"/>
          <w:lang w:val="en-US" w:eastAsia="zh-CN"/>
        </w:rPr>
      </w:pPr>
    </w:p>
    <w:p w14:paraId="479E9F6E">
      <w:pPr>
        <w:keepNext w:val="0"/>
        <w:keepLines w:val="0"/>
        <w:pageBreakBefore w:val="0"/>
        <w:widowControl w:val="0"/>
        <w:kinsoku/>
        <w:wordWrap/>
        <w:overflowPunct/>
        <w:topLinePunct w:val="0"/>
        <w:autoSpaceDE/>
        <w:autoSpaceDN/>
        <w:bidi w:val="0"/>
        <w:adjustRightInd/>
        <w:snapToGrid w:val="0"/>
        <w:spacing w:line="360" w:lineRule="auto"/>
        <w:ind w:left="0" w:leftChars="0" w:firstLine="5360" w:firstLineChars="1696"/>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遂宁市职业技术学校</w:t>
      </w:r>
    </w:p>
    <w:p w14:paraId="118DFC47">
      <w:pPr>
        <w:keepNext w:val="0"/>
        <w:keepLines w:val="0"/>
        <w:pageBreakBefore w:val="0"/>
        <w:widowControl w:val="0"/>
        <w:kinsoku/>
        <w:wordWrap/>
        <w:overflowPunct/>
        <w:topLinePunct w:val="0"/>
        <w:autoSpaceDE/>
        <w:autoSpaceDN/>
        <w:bidi w:val="0"/>
        <w:adjustRightInd/>
        <w:snapToGrid w:val="0"/>
        <w:spacing w:line="360" w:lineRule="auto"/>
        <w:ind w:left="0" w:leftChars="0" w:firstLine="5360" w:firstLineChars="1696"/>
        <w:jc w:val="center"/>
        <w:textAlignment w:val="auto"/>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lang w:val="en-US" w:eastAsia="zh-CN"/>
        </w:rPr>
        <w:t>2025年</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eastAsia="zh-CN"/>
        </w:rPr>
        <w:t>月2</w:t>
      </w:r>
      <w:r>
        <w:rPr>
          <w:rFonts w:hint="eastAsia" w:ascii="仿宋_GB2312" w:hAnsi="仿宋_GB2312" w:cs="仿宋_GB2312"/>
          <w:sz w:val="32"/>
          <w:szCs w:val="32"/>
          <w:lang w:val="en-US" w:eastAsia="zh-CN"/>
        </w:rPr>
        <w:t>0日</w:t>
      </w:r>
    </w:p>
    <w:p w14:paraId="5FE694C3">
      <w:pPr>
        <w:pageBreakBefore w:val="0"/>
        <w:kinsoku/>
        <w:wordWrap/>
        <w:overflowPunct/>
        <w:topLinePunct w:val="0"/>
        <w:autoSpaceDE/>
        <w:autoSpaceDN/>
        <w:bidi w:val="0"/>
        <w:snapToGrid w:val="0"/>
        <w:spacing w:line="360" w:lineRule="auto"/>
        <w:rPr>
          <w:rFonts w:hint="eastAsia"/>
          <w:lang w:val="en-US" w:eastAsia="zh-CN"/>
        </w:rPr>
        <w:sectPr>
          <w:footerReference r:id="rId7" w:type="default"/>
          <w:pgSz w:w="11906" w:h="16838"/>
          <w:pgMar w:top="1701" w:right="1587" w:bottom="1701" w:left="1587" w:header="851" w:footer="953" w:gutter="0"/>
          <w:pgBorders>
            <w:top w:val="none" w:sz="0" w:space="0"/>
            <w:left w:val="none" w:sz="0" w:space="0"/>
            <w:bottom w:val="none" w:sz="0" w:space="0"/>
            <w:right w:val="none" w:sz="0" w:space="0"/>
          </w:pgBorders>
          <w:pgNumType w:fmt="numberInDash" w:start="1"/>
          <w:cols w:space="720" w:num="1"/>
          <w:docGrid w:type="linesAndChars" w:linePitch="626" w:charSpace="-849"/>
        </w:sectPr>
      </w:pPr>
    </w:p>
    <w:p w14:paraId="2A87B674">
      <w:pPr>
        <w:pageBreakBefore w:val="0"/>
        <w:kinsoku/>
        <w:wordWrap/>
        <w:overflowPunct/>
        <w:topLinePunct w:val="0"/>
        <w:autoSpaceDE/>
        <w:autoSpaceDN/>
        <w:bidi w:val="0"/>
        <w:snapToGrid w:val="0"/>
        <w:spacing w:line="360" w:lineRule="auto"/>
        <w:jc w:val="both"/>
        <w:outlineLvl w:val="0"/>
        <w:rPr>
          <w:rFonts w:hint="default" w:ascii="方正小标宋简体" w:hAnsi="方正小标宋简体" w:eastAsia="方正小标宋简体" w:cs="方正小标宋简体"/>
          <w:b/>
          <w:bCs/>
          <w:sz w:val="32"/>
          <w:szCs w:val="32"/>
          <w:lang w:val="en-US" w:eastAsia="zh-CN"/>
        </w:rPr>
      </w:pPr>
      <w:bookmarkStart w:id="92" w:name="_Toc6739"/>
      <w:r>
        <w:rPr>
          <w:rFonts w:hint="eastAsia" w:ascii="仿宋_GB2312" w:hAnsi="仿宋_GB2312" w:eastAsia="仿宋_GB2312" w:cs="仿宋_GB2312"/>
          <w:b/>
          <w:bCs/>
          <w:spacing w:val="-20"/>
          <w:position w:val="0"/>
          <w:sz w:val="32"/>
          <w:szCs w:val="32"/>
        </w:rPr>
        <w:t>附件</w:t>
      </w:r>
      <w:r>
        <w:rPr>
          <w:rFonts w:hint="eastAsia" w:ascii="仿宋_GB2312" w:hAnsi="仿宋_GB2312" w:cs="仿宋_GB2312"/>
          <w:b/>
          <w:bCs/>
          <w:spacing w:val="-20"/>
          <w:position w:val="0"/>
          <w:sz w:val="32"/>
          <w:szCs w:val="32"/>
          <w:lang w:val="en-US" w:eastAsia="zh-CN"/>
        </w:rPr>
        <w:t>1</w:t>
      </w:r>
      <w:bookmarkEnd w:id="92"/>
    </w:p>
    <w:p w14:paraId="5D85310B">
      <w:pPr>
        <w:pageBreakBefore w:val="0"/>
        <w:kinsoku/>
        <w:wordWrap/>
        <w:overflowPunct/>
        <w:topLinePunct w:val="0"/>
        <w:autoSpaceDE/>
        <w:autoSpaceDN/>
        <w:bidi w:val="0"/>
        <w:snapToGrid w:val="0"/>
        <w:spacing w:line="360" w:lineRule="auto"/>
        <w:jc w:val="both"/>
        <w:rPr>
          <w:rFonts w:hint="eastAsia" w:ascii="方正小标宋简体" w:hAnsi="方正小标宋简体" w:eastAsia="方正小标宋简体" w:cs="方正小标宋简体"/>
          <w:sz w:val="44"/>
          <w:szCs w:val="44"/>
          <w:lang w:val="en-US" w:eastAsia="zh-CN"/>
        </w:rPr>
      </w:pPr>
    </w:p>
    <w:p w14:paraId="564FDA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学生资助补助经费</w:t>
      </w:r>
    </w:p>
    <w:p w14:paraId="3B6F47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5C88D623">
      <w:pPr>
        <w:pageBreakBefore w:val="0"/>
        <w:numPr>
          <w:ilvl w:val="0"/>
          <w:numId w:val="0"/>
        </w:numPr>
        <w:kinsoku/>
        <w:wordWrap/>
        <w:overflowPunct/>
        <w:topLinePunct w:val="0"/>
        <w:autoSpaceDE/>
        <w:autoSpaceDN/>
        <w:bidi w:val="0"/>
        <w:adjustRightInd w:val="0"/>
        <w:snapToGrid w:val="0"/>
        <w:spacing w:line="360" w:lineRule="auto"/>
        <w:rPr>
          <w:rFonts w:hint="eastAsia" w:ascii="Times New Roman" w:hAnsi="Times New Roman" w:eastAsia="黑体" w:cs="Times New Roman"/>
          <w:sz w:val="32"/>
          <w:lang w:val="zh-CN"/>
        </w:rPr>
      </w:pPr>
    </w:p>
    <w:p w14:paraId="6090FF8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4533EC0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266C1C3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学生资助补助</w:t>
      </w:r>
      <w:r>
        <w:rPr>
          <w:rFonts w:hint="eastAsia" w:ascii="仿宋_GB2312" w:hAnsi="仿宋_GB2312" w:eastAsia="仿宋_GB2312" w:cs="仿宋_GB2312"/>
          <w:spacing w:val="0"/>
          <w:sz w:val="32"/>
          <w:szCs w:val="32"/>
          <w:lang w:val="zh-CN" w:eastAsia="zh-CN"/>
        </w:rPr>
        <w:t>补助经费由</w:t>
      </w:r>
      <w:r>
        <w:rPr>
          <w:rFonts w:hint="eastAsia" w:ascii="仿宋_GB2312" w:hAnsi="仿宋_GB2312" w:eastAsia="仿宋_GB2312" w:cs="仿宋_GB2312"/>
          <w:spacing w:val="0"/>
          <w:sz w:val="32"/>
          <w:szCs w:val="32"/>
          <w:lang w:val="en-US" w:eastAsia="zh-CN"/>
        </w:rPr>
        <w:t>中央财政统一按中职学生人数拨款741.88万元。</w:t>
      </w:r>
      <w:r>
        <w:rPr>
          <w:rFonts w:hint="eastAsia" w:ascii="仿宋_GB2312" w:hAnsi="仿宋_GB2312" w:eastAsia="仿宋_GB2312" w:cs="仿宋_GB2312"/>
          <w:spacing w:val="0"/>
          <w:sz w:val="32"/>
          <w:szCs w:val="32"/>
          <w:lang w:val="zh-CN" w:eastAsia="zh-CN"/>
        </w:rPr>
        <w:t>主要用于保障</w:t>
      </w:r>
      <w:r>
        <w:rPr>
          <w:rFonts w:hint="eastAsia" w:ascii="仿宋_GB2312" w:hAnsi="仿宋_GB2312" w:eastAsia="仿宋_GB2312" w:cs="仿宋_GB2312"/>
          <w:spacing w:val="0"/>
          <w:sz w:val="32"/>
          <w:szCs w:val="32"/>
          <w:lang w:val="en-US" w:eastAsia="zh-CN"/>
        </w:rPr>
        <w:t>中职免学费</w:t>
      </w:r>
      <w:r>
        <w:rPr>
          <w:rFonts w:hint="eastAsia" w:ascii="仿宋_GB2312" w:hAnsi="仿宋_GB2312" w:eastAsia="仿宋_GB2312" w:cs="仿宋_GB2312"/>
          <w:spacing w:val="0"/>
          <w:sz w:val="32"/>
          <w:szCs w:val="32"/>
          <w:lang w:val="zh-CN" w:eastAsia="zh-CN"/>
        </w:rPr>
        <w:t>教育学校正常教学秩序、对</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教育阶段贫困学生资助等。</w:t>
      </w:r>
    </w:p>
    <w:p w14:paraId="3F1EF1E7">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实施目的及支持方向</w:t>
      </w:r>
    </w:p>
    <w:p w14:paraId="6C494D0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方正仿宋_GBK" w:hAnsi="方正仿宋_GBK" w:eastAsia="方正仿宋_GBK" w:cs="方正仿宋_GBK"/>
          <w:b w:val="0"/>
          <w:bCs w:val="0"/>
          <w:spacing w:val="0"/>
          <w:sz w:val="32"/>
          <w:szCs w:val="32"/>
          <w:lang w:val="zh-CN" w:eastAsia="zh-CN"/>
        </w:rPr>
      </w:pPr>
      <w:r>
        <w:rPr>
          <w:rFonts w:hint="eastAsia" w:ascii="仿宋_GB2312" w:hAnsi="仿宋_GB2312" w:eastAsia="仿宋_GB2312" w:cs="仿宋_GB2312"/>
          <w:spacing w:val="0"/>
          <w:sz w:val="32"/>
          <w:szCs w:val="32"/>
          <w:lang w:val="en-US" w:eastAsia="zh-CN"/>
        </w:rPr>
        <w:t>促进职业教育高质量发展。</w:t>
      </w:r>
    </w:p>
    <w:p w14:paraId="1C3157C9">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Chars="0" w:firstLine="643" w:firstLineChars="200"/>
        <w:jc w:val="left"/>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 xml:space="preserve">预算安排及分配管理                </w:t>
      </w:r>
    </w:p>
    <w:p w14:paraId="6BBDD6B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按照</w:t>
      </w:r>
      <w:r>
        <w:rPr>
          <w:rFonts w:hint="eastAsia" w:ascii="仿宋_GB2312" w:hAnsi="仿宋_GB2312" w:eastAsia="仿宋_GB2312" w:cs="仿宋_GB2312"/>
          <w:spacing w:val="0"/>
          <w:sz w:val="32"/>
          <w:szCs w:val="32"/>
          <w:lang w:val="en-US" w:eastAsia="zh-CN"/>
        </w:rPr>
        <w:t>中省</w:t>
      </w:r>
      <w:r>
        <w:rPr>
          <w:rFonts w:hint="eastAsia" w:ascii="仿宋_GB2312" w:hAnsi="仿宋_GB2312" w:eastAsia="仿宋_GB2312" w:cs="仿宋_GB2312"/>
          <w:spacing w:val="0"/>
          <w:sz w:val="32"/>
          <w:szCs w:val="32"/>
          <w:lang w:val="zh-CN" w:eastAsia="zh-CN"/>
        </w:rPr>
        <w:t>财政局下达指标结合实际，按照程序申报，目标合理可行。所有项目及时分配资金，中省下达专项经费及时完成发放。</w:t>
      </w:r>
    </w:p>
    <w:p w14:paraId="7BE52269">
      <w:pPr>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112BE6D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方正仿宋_GBK" w:hAnsi="方正仿宋_GBK" w:eastAsia="方正仿宋_GBK" w:cs="方正仿宋_GBK"/>
          <w:b w:val="0"/>
          <w:bCs w:val="0"/>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2E872C2E">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4C3C3B20">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51A640C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通过项目绩效自评，促进</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w:t>
      </w:r>
      <w:r>
        <w:rPr>
          <w:rFonts w:hint="eastAsia" w:ascii="仿宋_GB2312" w:hAnsi="仿宋_GB2312" w:eastAsia="仿宋_GB2312" w:cs="仿宋_GB2312"/>
          <w:spacing w:val="0"/>
          <w:sz w:val="32"/>
          <w:szCs w:val="32"/>
          <w:lang w:val="zh-CN" w:eastAsia="zh-CN"/>
        </w:rPr>
        <w:t>发展。</w:t>
      </w:r>
    </w:p>
    <w:p w14:paraId="35DE4F03">
      <w:pPr>
        <w:keepNext w:val="0"/>
        <w:keepLines w:val="0"/>
        <w:pageBreakBefore w:val="0"/>
        <w:widowControl w:val="0"/>
        <w:numPr>
          <w:ilvl w:val="0"/>
          <w:numId w:val="7"/>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预设问题及评价重点</w:t>
      </w:r>
    </w:p>
    <w:p w14:paraId="4B658D2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方正仿宋_GBK" w:hAnsi="方正仿宋_GBK" w:eastAsia="方正仿宋_GBK" w:cs="方正仿宋_GBK"/>
          <w:b w:val="0"/>
          <w:bCs w:val="0"/>
          <w:spacing w:val="0"/>
          <w:sz w:val="32"/>
          <w:szCs w:val="32"/>
          <w:lang w:val="zh-CN" w:eastAsia="zh-CN"/>
        </w:rPr>
      </w:pPr>
      <w:r>
        <w:rPr>
          <w:rFonts w:hint="eastAsia" w:ascii="仿宋_GB2312" w:hAnsi="仿宋_GB2312" w:eastAsia="仿宋_GB2312" w:cs="仿宋_GB2312"/>
          <w:spacing w:val="0"/>
          <w:sz w:val="32"/>
          <w:szCs w:val="32"/>
          <w:lang w:val="zh-CN" w:eastAsia="zh-CN"/>
        </w:rPr>
        <w:t>照绩效评价指标体系，对资金支出使用全过程及其实施效果进行综合评价和判断。</w:t>
      </w:r>
    </w:p>
    <w:p w14:paraId="068EE276">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评价选点</w:t>
      </w:r>
    </w:p>
    <w:p w14:paraId="2EC8575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抽取检查学生资助补助补助经费。</w:t>
      </w:r>
    </w:p>
    <w:p w14:paraId="2BE7A957">
      <w:pPr>
        <w:keepNext w:val="0"/>
        <w:keepLines w:val="0"/>
        <w:pageBreakBefore w:val="0"/>
        <w:widowControl w:val="0"/>
        <w:numPr>
          <w:ilvl w:val="0"/>
          <w:numId w:val="7"/>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评价方法</w:t>
      </w:r>
    </w:p>
    <w:p w14:paraId="39B9F9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1E711544">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评价组织</w:t>
      </w:r>
    </w:p>
    <w:p w14:paraId="045A40F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35952E9F">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三、绩效分析</w:t>
      </w:r>
      <w:r>
        <w:rPr>
          <w:rFonts w:hint="eastAsia" w:ascii="Times New Roman" w:hAnsi="Times New Roman" w:eastAsia="黑体" w:cs="Times New Roman"/>
          <w:sz w:val="32"/>
          <w:lang w:val="zh-CN" w:eastAsia="zh-CN"/>
        </w:rPr>
        <w:tab/>
      </w:r>
    </w:p>
    <w:p w14:paraId="2E16906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1364EA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p>
    <w:p w14:paraId="5427558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7B709DE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4C5C7F6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7FFFA07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4.项目结果。围绕</w:t>
      </w:r>
      <w:r>
        <w:rPr>
          <w:rFonts w:hint="eastAsia" w:ascii="仿宋_GB2312" w:hAnsi="仿宋_GB2312" w:eastAsia="仿宋_GB2312" w:cs="仿宋_GB2312"/>
          <w:spacing w:val="0"/>
          <w:sz w:val="32"/>
          <w:szCs w:val="32"/>
          <w:lang w:val="zh-CN" w:eastAsia="zh-CN"/>
        </w:rPr>
        <w:t>目标完成、完成时效进行绩效分析。</w:t>
      </w:r>
    </w:p>
    <w:p w14:paraId="4EF2A4BD">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p>
    <w:p w14:paraId="75AE580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项目资金合理分配到校、对象精准、分配标准合理，不仅减轻学生经济负担，助力学生成长成才，还</w:t>
      </w:r>
      <w:r>
        <w:rPr>
          <w:rFonts w:hint="eastAsia" w:ascii="仿宋_GB2312" w:hAnsi="仿宋_GB2312" w:eastAsia="仿宋_GB2312" w:cs="仿宋_GB2312"/>
          <w:spacing w:val="0"/>
          <w:sz w:val="32"/>
          <w:szCs w:val="32"/>
          <w:lang w:val="zh-CN" w:eastAsia="zh-CN"/>
        </w:rPr>
        <w:t>保障</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教育学校正常教学秩序。</w:t>
      </w:r>
    </w:p>
    <w:p w14:paraId="7F3F2F75">
      <w:pPr>
        <w:keepNext w:val="0"/>
        <w:keepLines w:val="0"/>
        <w:pageBreakBefore w:val="0"/>
        <w:widowControl w:val="0"/>
        <w:numPr>
          <w:ilvl w:val="0"/>
          <w:numId w:val="8"/>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p>
    <w:p w14:paraId="61FD17B2">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免学费</w:t>
      </w:r>
      <w:r>
        <w:rPr>
          <w:rFonts w:hint="eastAsia" w:ascii="仿宋_GB2312" w:hAnsi="仿宋_GB2312" w:eastAsia="仿宋_GB2312" w:cs="仿宋_GB2312"/>
          <w:spacing w:val="0"/>
          <w:sz w:val="32"/>
          <w:szCs w:val="32"/>
          <w:lang w:val="zh-CN" w:eastAsia="zh-CN"/>
        </w:rPr>
        <w:t>补助人数/应补助人数比例100%；补助质量合格；补助时效100%；满意度大于95%。</w:t>
      </w:r>
    </w:p>
    <w:p w14:paraId="6500305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四、评价结论</w:t>
      </w:r>
    </w:p>
    <w:p w14:paraId="488798E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绩效总体得分91分，</w:t>
      </w:r>
      <w:r>
        <w:rPr>
          <w:rFonts w:hint="eastAsia" w:ascii="仿宋_GB2312" w:hAnsi="仿宋_GB2312" w:eastAsia="仿宋_GB2312" w:cs="仿宋_GB2312"/>
          <w:spacing w:val="0"/>
          <w:sz w:val="32"/>
          <w:szCs w:val="32"/>
          <w:lang w:val="zh-CN" w:eastAsia="zh-CN"/>
        </w:rPr>
        <w:t>实施达到了预期的社会效益，教师和学生满意度较好。</w:t>
      </w:r>
    </w:p>
    <w:p w14:paraId="6A921D39">
      <w:pPr>
        <w:keepNext w:val="0"/>
        <w:keepLines w:val="0"/>
        <w:pageBreakBefore w:val="0"/>
        <w:widowControl w:val="0"/>
        <w:numPr>
          <w:ilvl w:val="0"/>
          <w:numId w:val="9"/>
        </w:numPr>
        <w:kinsoku/>
        <w:wordWrap/>
        <w:overflowPunct/>
        <w:topLinePunct w:val="0"/>
        <w:autoSpaceDE/>
        <w:autoSpaceDN/>
        <w:bidi w:val="0"/>
        <w:snapToGrid w:val="0"/>
        <w:spacing w:line="360" w:lineRule="auto"/>
        <w:ind w:firstLine="640" w:firstLineChars="200"/>
        <w:textAlignment w:val="auto"/>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存在主要问题</w:t>
      </w:r>
    </w:p>
    <w:p w14:paraId="33DA0A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775031C7">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六、改进建议</w:t>
      </w:r>
    </w:p>
    <w:p w14:paraId="03F25FA2">
      <w:pPr>
        <w:keepNext w:val="0"/>
        <w:keepLines w:val="0"/>
        <w:pageBreakBefore w:val="0"/>
        <w:widowControl w:val="0"/>
        <w:kinsoku/>
        <w:wordWrap/>
        <w:overflowPunct/>
        <w:topLinePunct w:val="0"/>
        <w:autoSpaceDE/>
        <w:autoSpaceDN/>
        <w:bidi w:val="0"/>
        <w:snapToGrid w:val="0"/>
        <w:spacing w:line="360" w:lineRule="auto"/>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655D8D56">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p>
    <w:p w14:paraId="1ADBEE69">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附表：1.项目资金分配涉及所有点位自评得分情况表</w:t>
      </w:r>
    </w:p>
    <w:p w14:paraId="68EDC1A7">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2.专项资金绩效目标完成情况自评表</w:t>
      </w:r>
    </w:p>
    <w:p w14:paraId="1CB61F36">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br w:type="page"/>
      </w:r>
    </w:p>
    <w:p w14:paraId="2585558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93" w:name="_Toc11570"/>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93"/>
    </w:p>
    <w:p w14:paraId="0521EF32">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3747"/>
        <w:gridCol w:w="2790"/>
        <w:gridCol w:w="967"/>
      </w:tblGrid>
      <w:tr w14:paraId="04AF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094" w:type="dxa"/>
            <w:vAlign w:val="center"/>
          </w:tcPr>
          <w:p w14:paraId="1FDFA7CB">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747" w:type="dxa"/>
            <w:vAlign w:val="center"/>
          </w:tcPr>
          <w:p w14:paraId="50A59BB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790" w:type="dxa"/>
            <w:vAlign w:val="center"/>
          </w:tcPr>
          <w:p w14:paraId="66A1AC0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67" w:type="dxa"/>
            <w:vAlign w:val="center"/>
          </w:tcPr>
          <w:p w14:paraId="24D4FB0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6392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094" w:type="dxa"/>
            <w:vAlign w:val="center"/>
          </w:tcPr>
          <w:p w14:paraId="2F08DBC9">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747" w:type="dxa"/>
            <w:vAlign w:val="center"/>
          </w:tcPr>
          <w:p w14:paraId="0241D29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r>
              <w:rPr>
                <w:rFonts w:hint="eastAsia" w:ascii="宋体" w:hAnsi="宋体" w:cs="宋体"/>
                <w:color w:val="auto"/>
                <w:sz w:val="24"/>
                <w:szCs w:val="24"/>
                <w:highlight w:val="none"/>
                <w:u w:val="none"/>
                <w:vertAlign w:val="baseline"/>
                <w:lang w:val="en" w:eastAsia="zh-CN"/>
              </w:rPr>
              <w:t>遂宁市</w:t>
            </w:r>
            <w:r>
              <w:rPr>
                <w:rFonts w:hint="eastAsia" w:ascii="宋体" w:hAnsi="宋体" w:cs="宋体"/>
                <w:color w:val="auto"/>
                <w:sz w:val="24"/>
                <w:szCs w:val="24"/>
                <w:highlight w:val="none"/>
                <w:u w:val="none"/>
                <w:vertAlign w:val="baseline"/>
                <w:lang w:val="en-US" w:eastAsia="zh-CN"/>
              </w:rPr>
              <w:t>职业技术</w:t>
            </w:r>
            <w:r>
              <w:rPr>
                <w:rFonts w:hint="eastAsia" w:ascii="宋体" w:hAnsi="宋体" w:cs="宋体"/>
                <w:color w:val="auto"/>
                <w:sz w:val="24"/>
                <w:szCs w:val="24"/>
                <w:highlight w:val="none"/>
                <w:u w:val="none"/>
                <w:vertAlign w:val="baseline"/>
                <w:lang w:val="en" w:eastAsia="zh-CN"/>
              </w:rPr>
              <w:t>学校</w:t>
            </w:r>
          </w:p>
        </w:tc>
        <w:tc>
          <w:tcPr>
            <w:tcW w:w="2790" w:type="dxa"/>
            <w:vAlign w:val="center"/>
          </w:tcPr>
          <w:p w14:paraId="566F44BF">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lang w:val="en-US" w:eastAsia="zh-CN"/>
              </w:rPr>
            </w:pPr>
            <w:r>
              <w:rPr>
                <w:rFonts w:hint="eastAsia" w:ascii="宋体" w:hAnsi="宋体" w:cs="宋体"/>
                <w:color w:val="auto"/>
                <w:sz w:val="24"/>
                <w:szCs w:val="24"/>
                <w:highlight w:val="none"/>
                <w:u w:val="none"/>
                <w:vertAlign w:val="baseline"/>
                <w:lang w:val="en-US" w:eastAsia="zh-CN"/>
              </w:rPr>
              <w:t>91</w:t>
            </w:r>
          </w:p>
        </w:tc>
        <w:tc>
          <w:tcPr>
            <w:tcW w:w="967" w:type="dxa"/>
            <w:vAlign w:val="center"/>
          </w:tcPr>
          <w:p w14:paraId="44277D8D">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287A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exact"/>
          <w:jc w:val="center"/>
        </w:trPr>
        <w:tc>
          <w:tcPr>
            <w:tcW w:w="1094" w:type="dxa"/>
            <w:vAlign w:val="center"/>
          </w:tcPr>
          <w:p w14:paraId="57F8F0A5">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747" w:type="dxa"/>
            <w:vAlign w:val="center"/>
          </w:tcPr>
          <w:p w14:paraId="2A9127E5">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2790" w:type="dxa"/>
            <w:vAlign w:val="center"/>
          </w:tcPr>
          <w:p w14:paraId="6127C70A">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967" w:type="dxa"/>
            <w:vAlign w:val="center"/>
          </w:tcPr>
          <w:p w14:paraId="794DDB5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217A3A59">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p>
    <w:p w14:paraId="019BBFA4">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1248310A">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75678303">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7A2F2172">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05C0BA51">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3E0E6E57">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12C76A17">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2EB1E1AB">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4056F4F3">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1083B446">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5F765F59">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445DE975">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3987929D">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2E03C2B8">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794ED88E">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6E861CF2">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0FCE260F">
      <w:pPr>
        <w:pStyle w:val="2"/>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6242350E">
      <w:pPr>
        <w:pageBreakBefore w:val="0"/>
        <w:kinsoku/>
        <w:wordWrap/>
        <w:overflowPunct/>
        <w:topLinePunct w:val="0"/>
        <w:autoSpaceDE/>
        <w:autoSpaceDN/>
        <w:bidi w:val="0"/>
        <w:snapToGrid w:val="0"/>
        <w:spacing w:line="360" w:lineRule="auto"/>
        <w:rPr>
          <w:rFonts w:hint="eastAsia" w:ascii="宋体" w:hAnsi="宋体" w:eastAsia="宋体" w:cs="宋体"/>
          <w:b w:val="0"/>
          <w:bCs w:val="0"/>
          <w:color w:val="auto"/>
          <w:sz w:val="21"/>
          <w:szCs w:val="21"/>
          <w:highlight w:val="none"/>
          <w:u w:val="none"/>
          <w:vertAlign w:val="baseline"/>
          <w:lang w:val="en-US" w:eastAsia="zh-CN"/>
        </w:rPr>
      </w:pPr>
    </w:p>
    <w:p w14:paraId="0E26AC25">
      <w:pPr>
        <w:pStyle w:val="2"/>
        <w:rPr>
          <w:rFonts w:hint="eastAsia"/>
          <w:lang w:val="en-US" w:eastAsia="zh-CN"/>
        </w:rPr>
      </w:pPr>
    </w:p>
    <w:p w14:paraId="1F118404">
      <w:pPr>
        <w:pStyle w:val="2"/>
        <w:pageBreakBefore w:val="0"/>
        <w:kinsoku/>
        <w:wordWrap/>
        <w:overflowPunct/>
        <w:topLinePunct w:val="0"/>
        <w:autoSpaceDE/>
        <w:autoSpaceDN/>
        <w:bidi w:val="0"/>
        <w:snapToGrid w:val="0"/>
        <w:spacing w:line="360" w:lineRule="auto"/>
        <w:rPr>
          <w:rFonts w:hint="eastAsia"/>
          <w:lang w:val="en-US" w:eastAsia="zh-CN"/>
        </w:rPr>
      </w:pPr>
    </w:p>
    <w:p w14:paraId="70BE364C">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94" w:name="_Toc15089"/>
      <w:r>
        <w:rPr>
          <w:rFonts w:hint="default" w:ascii="Times New Roman" w:hAnsi="Times New Roman" w:eastAsia="黑体" w:cs="Times New Roman"/>
          <w:kern w:val="2"/>
          <w:sz w:val="32"/>
          <w:szCs w:val="24"/>
          <w:highlight w:val="none"/>
          <w:lang w:val="en-US" w:eastAsia="zh-CN" w:bidi="ar-SA"/>
        </w:rPr>
        <w:t>附表2</w:t>
      </w:r>
      <w:bookmarkEnd w:id="94"/>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96"/>
        <w:gridCol w:w="1046"/>
        <w:gridCol w:w="1110"/>
        <w:gridCol w:w="1291"/>
        <w:gridCol w:w="883"/>
        <w:gridCol w:w="862"/>
        <w:gridCol w:w="946"/>
        <w:gridCol w:w="834"/>
        <w:gridCol w:w="1652"/>
      </w:tblGrid>
      <w:tr w14:paraId="38A4A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9" w:hRule="atLeast"/>
          <w:jc w:val="center"/>
        </w:trPr>
        <w:tc>
          <w:tcPr>
            <w:tcW w:w="9120" w:type="dxa"/>
            <w:gridSpan w:val="9"/>
            <w:shd w:val="clear" w:color="auto" w:fill="auto"/>
            <w:vAlign w:val="center"/>
          </w:tcPr>
          <w:p w14:paraId="1B089EF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3A692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39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3E0FA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项目名称</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CEF27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学生资助补助</w:t>
            </w:r>
            <w:r>
              <w:rPr>
                <w:rFonts w:hint="default" w:ascii="宋体" w:hAnsi="宋体" w:eastAsia="宋体" w:cs="宋体"/>
                <w:i w:val="0"/>
                <w:color w:val="000000"/>
                <w:sz w:val="24"/>
                <w:szCs w:val="24"/>
                <w:u w:val="none"/>
                <w:lang w:val="en-US" w:eastAsia="zh-CN"/>
              </w:rPr>
              <w:t>补助经费</w:t>
            </w:r>
          </w:p>
        </w:tc>
      </w:tr>
      <w:tr w14:paraId="11E99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39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B23F2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EB216B">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遂宁市</w:t>
            </w:r>
            <w:r>
              <w:rPr>
                <w:rFonts w:hint="eastAsia" w:ascii="宋体" w:hAnsi="宋体" w:eastAsia="宋体" w:cs="宋体"/>
                <w:i w:val="0"/>
                <w:color w:val="000000"/>
                <w:sz w:val="24"/>
                <w:szCs w:val="24"/>
                <w:u w:val="none"/>
                <w:lang w:val="en-US" w:eastAsia="zh-CN"/>
              </w:rPr>
              <w:t>职业技术学校</w:t>
            </w:r>
          </w:p>
        </w:tc>
      </w:tr>
      <w:tr w14:paraId="33E68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39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8E2A8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FFA016">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auto"/>
                <w:sz w:val="24"/>
                <w:szCs w:val="24"/>
                <w:u w:val="none"/>
                <w:lang w:val="en-US" w:eastAsia="zh-CN"/>
              </w:rPr>
              <w:t>民生保障</w:t>
            </w:r>
          </w:p>
        </w:tc>
      </w:tr>
      <w:tr w14:paraId="341FC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59" w:hRule="atLeast"/>
          <w:jc w:val="center"/>
        </w:trPr>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5288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89016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3358A95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B826CD">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351B2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4376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AF578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E1B295">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0161A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59"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5BF0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EF1B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8A6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8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185B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6E3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C40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737EE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B41D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52EAB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9E7EC5">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川财教[2024]7号</w:t>
            </w:r>
            <w:r>
              <w:rPr>
                <w:rFonts w:hint="eastAsia" w:ascii="宋体" w:hAnsi="宋体" w:eastAsia="宋体" w:cs="宋体"/>
                <w:i w:val="0"/>
                <w:color w:val="000000"/>
                <w:sz w:val="24"/>
                <w:szCs w:val="24"/>
                <w:u w:val="none"/>
                <w:lang w:eastAsia="zh-CN"/>
              </w:rPr>
              <w:t>、川财教【2024】37号</w:t>
            </w:r>
          </w:p>
        </w:tc>
      </w:tr>
      <w:tr w14:paraId="3ABD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7"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B156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2D53D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C8D26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主要用于保障职业教育学校正常教学秩序、对职业教育阶段贫困学生资助等</w:t>
            </w:r>
          </w:p>
        </w:tc>
      </w:tr>
      <w:tr w14:paraId="73240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1F39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645D0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BCC8A7">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职业教育学校</w:t>
            </w:r>
          </w:p>
        </w:tc>
      </w:tr>
      <w:tr w14:paraId="46D7E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3760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F97BC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24AD4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19F0F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15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36AD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3199D9C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9940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B308C0">
            <w:pPr>
              <w:keepNext w:val="0"/>
              <w:keepLines w:val="0"/>
              <w:pageBreakBefore w:val="0"/>
              <w:tabs>
                <w:tab w:val="left" w:pos="2001"/>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741.88</w:t>
            </w:r>
          </w:p>
        </w:tc>
      </w:tr>
      <w:tr w14:paraId="7A83C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15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7E59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68072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C53835">
            <w:pPr>
              <w:keepNext w:val="0"/>
              <w:keepLines w:val="0"/>
              <w:pageBreakBefore w:val="0"/>
              <w:tabs>
                <w:tab w:val="left" w:pos="2382"/>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741.88</w:t>
            </w:r>
          </w:p>
        </w:tc>
      </w:tr>
      <w:tr w14:paraId="13B0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15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BD22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377D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CC1679">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29D6E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E2BB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62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8DB51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73031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1"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2949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62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B5335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做好202</w:t>
            </w:r>
            <w:r>
              <w:rPr>
                <w:rFonts w:hint="eastAsia" w:ascii="宋体" w:hAnsi="宋体" w:eastAsia="宋体" w:cs="宋体"/>
                <w:i w:val="0"/>
                <w:color w:val="000000"/>
                <w:sz w:val="24"/>
                <w:szCs w:val="24"/>
                <w:u w:val="none"/>
                <w:lang w:val="en-US" w:eastAsia="zh-CN"/>
              </w:rPr>
              <w:t>4</w:t>
            </w:r>
            <w:r>
              <w:rPr>
                <w:rFonts w:hint="eastAsia" w:ascii="宋体" w:hAnsi="宋体" w:eastAsia="宋体" w:cs="宋体"/>
                <w:i w:val="0"/>
                <w:color w:val="000000"/>
                <w:sz w:val="24"/>
                <w:szCs w:val="24"/>
                <w:u w:val="none"/>
              </w:rPr>
              <w:t>年</w:t>
            </w:r>
            <w:r>
              <w:rPr>
                <w:rFonts w:hint="eastAsia" w:ascii="宋体" w:hAnsi="宋体" w:eastAsia="宋体" w:cs="宋体"/>
                <w:i w:val="0"/>
                <w:color w:val="000000"/>
                <w:sz w:val="24"/>
                <w:szCs w:val="24"/>
                <w:u w:val="none"/>
                <w:lang w:val="en-US" w:eastAsia="zh-CN"/>
              </w:rPr>
              <w:t>职业</w:t>
            </w:r>
            <w:r>
              <w:rPr>
                <w:rFonts w:hint="eastAsia" w:ascii="宋体" w:hAnsi="宋体" w:eastAsia="宋体" w:cs="宋体"/>
                <w:i w:val="0"/>
                <w:color w:val="000000"/>
                <w:sz w:val="24"/>
                <w:szCs w:val="24"/>
                <w:u w:val="none"/>
              </w:rPr>
              <w:t>教育补助经费的相关工作，确保补助到位</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lang w:val="en-US" w:eastAsia="zh-CN"/>
              </w:rPr>
              <w:t>保障学校工作顺利开展</w:t>
            </w:r>
            <w:r>
              <w:rPr>
                <w:rFonts w:hint="eastAsia" w:ascii="宋体" w:hAnsi="宋体" w:eastAsia="宋体" w:cs="宋体"/>
                <w:i w:val="0"/>
                <w:color w:val="000000"/>
                <w:sz w:val="24"/>
                <w:szCs w:val="24"/>
                <w:u w:val="none"/>
              </w:rPr>
              <w:t>。</w:t>
            </w:r>
          </w:p>
        </w:tc>
      </w:tr>
      <w:tr w14:paraId="62F1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59" w:hRule="atLeast"/>
          <w:jc w:val="center"/>
        </w:trPr>
        <w:tc>
          <w:tcPr>
            <w:tcW w:w="4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64EB5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14:paraId="5246584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5ED422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324DD32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190F5FC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055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D23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E3E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4CB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0423E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CAFC5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F3B8A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766A6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48375EA9">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学生受益率</w:t>
            </w: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736A911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B4A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D08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8068">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F493">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B957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F01C0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1E21A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B5F2A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1A366A7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7598C96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C16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A9D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F45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631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679AB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B607F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D548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B3A59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7083BEA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补助质量</w:t>
            </w: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1C96B61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59C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9CE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4275">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7C23">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AB08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5310E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AE4EA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EBE30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667408B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641924B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BA1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7B6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010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C47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02F2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jc w:val="center"/>
        </w:trPr>
        <w:tc>
          <w:tcPr>
            <w:tcW w:w="4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046AB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69B5D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46E6BF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0A38E9A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补助时效</w:t>
            </w: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4301BE5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618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100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9C4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811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F10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100</w:t>
            </w:r>
          </w:p>
        </w:tc>
      </w:tr>
      <w:tr w14:paraId="2ABAB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79" w:hRule="atLeast"/>
          <w:jc w:val="center"/>
        </w:trPr>
        <w:tc>
          <w:tcPr>
            <w:tcW w:w="4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7A740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14:paraId="124007E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2857C19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1A7BB45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555A746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46D6643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满意度</w:t>
            </w: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3CD8EA04">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D977">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741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0406">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2845">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bl>
    <w:p w14:paraId="25B322A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80E150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D946FFF">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77CF41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4C851F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5CF3AC9">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215606D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638A8E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0B852AF">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8FF699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06BB793">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C86CF1D">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36096FB">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11C079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5D66FADE">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15B74E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4262A5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6C800C8">
      <w:pPr>
        <w:pageBreakBefore w:val="0"/>
        <w:kinsoku/>
        <w:wordWrap/>
        <w:overflowPunct/>
        <w:topLinePunct w:val="0"/>
        <w:autoSpaceDE/>
        <w:autoSpaceDN/>
        <w:bidi w:val="0"/>
        <w:snapToGrid w:val="0"/>
        <w:spacing w:line="360" w:lineRule="auto"/>
        <w:jc w:val="both"/>
        <w:outlineLvl w:val="0"/>
        <w:rPr>
          <w:rFonts w:hint="default" w:ascii="方正小标宋简体" w:hAnsi="方正小标宋简体" w:eastAsia="方正小标宋简体" w:cs="方正小标宋简体"/>
          <w:b/>
          <w:bCs/>
          <w:sz w:val="32"/>
          <w:szCs w:val="32"/>
          <w:lang w:val="en-US" w:eastAsia="zh-CN"/>
        </w:rPr>
      </w:pPr>
      <w:bookmarkStart w:id="95" w:name="_Toc18639"/>
      <w:r>
        <w:rPr>
          <w:rFonts w:hint="eastAsia" w:ascii="仿宋_GB2312" w:hAnsi="仿宋_GB2312" w:eastAsia="仿宋_GB2312" w:cs="仿宋_GB2312"/>
          <w:b/>
          <w:bCs/>
          <w:spacing w:val="-20"/>
          <w:position w:val="0"/>
          <w:sz w:val="32"/>
          <w:szCs w:val="32"/>
        </w:rPr>
        <w:t>附件</w:t>
      </w:r>
      <w:r>
        <w:rPr>
          <w:rFonts w:hint="eastAsia" w:ascii="仿宋_GB2312" w:hAnsi="仿宋_GB2312" w:cs="仿宋_GB2312"/>
          <w:b/>
          <w:bCs/>
          <w:spacing w:val="-20"/>
          <w:position w:val="0"/>
          <w:sz w:val="32"/>
          <w:szCs w:val="32"/>
          <w:lang w:val="en-US" w:eastAsia="zh-CN"/>
        </w:rPr>
        <w:t>2</w:t>
      </w:r>
      <w:bookmarkEnd w:id="95"/>
    </w:p>
    <w:p w14:paraId="115B43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学生资助专项资金</w:t>
      </w:r>
    </w:p>
    <w:p w14:paraId="1ED584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4EABB3E2">
      <w:pPr>
        <w:pageBreakBefore w:val="0"/>
        <w:numPr>
          <w:ilvl w:val="0"/>
          <w:numId w:val="0"/>
        </w:numPr>
        <w:kinsoku/>
        <w:wordWrap/>
        <w:overflowPunct/>
        <w:topLinePunct w:val="0"/>
        <w:autoSpaceDE/>
        <w:autoSpaceDN/>
        <w:bidi w:val="0"/>
        <w:adjustRightInd w:val="0"/>
        <w:snapToGrid w:val="0"/>
        <w:spacing w:line="360" w:lineRule="auto"/>
        <w:jc w:val="center"/>
        <w:rPr>
          <w:rFonts w:hint="eastAsia" w:ascii="Times New Roman" w:hAnsi="Times New Roman" w:eastAsia="黑体" w:cs="Times New Roman"/>
          <w:sz w:val="32"/>
          <w:lang w:val="zh-CN"/>
        </w:rPr>
      </w:pPr>
    </w:p>
    <w:p w14:paraId="3B28371A">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2B78D67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785A7C0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学生资助专项资金由省级财政统一按中职学生人数拨款87.93万元。主要用于保障中职免学费教育学校正常教学秩序、对职业教育阶段贫困学生资助等。</w:t>
      </w:r>
    </w:p>
    <w:p w14:paraId="2362C5E2">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实施目的及支持方向</w:t>
      </w:r>
    </w:p>
    <w:p w14:paraId="02D1775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促进职业教育高质量发展。</w:t>
      </w:r>
    </w:p>
    <w:p w14:paraId="58DE3AF3">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Chars="0" w:firstLine="643" w:firstLineChars="200"/>
        <w:jc w:val="left"/>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 xml:space="preserve">预算安排及分配管理                  </w:t>
      </w:r>
    </w:p>
    <w:p w14:paraId="21CAD12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rPr>
      </w:pPr>
      <w:r>
        <w:rPr>
          <w:rFonts w:hint="eastAsia" w:ascii="仿宋_GB2312" w:hAnsi="仿宋_GB2312" w:eastAsia="仿宋_GB2312" w:cs="仿宋_GB2312"/>
          <w:spacing w:val="0"/>
          <w:sz w:val="32"/>
          <w:szCs w:val="32"/>
          <w:lang w:val="zh-CN" w:eastAsia="zh-CN"/>
        </w:rPr>
        <w:t>按照</w:t>
      </w:r>
      <w:r>
        <w:rPr>
          <w:rFonts w:hint="eastAsia" w:ascii="仿宋_GB2312" w:hAnsi="仿宋_GB2312" w:eastAsia="仿宋_GB2312" w:cs="仿宋_GB2312"/>
          <w:spacing w:val="0"/>
          <w:sz w:val="32"/>
          <w:szCs w:val="32"/>
          <w:lang w:val="en-US" w:eastAsia="zh-CN"/>
        </w:rPr>
        <w:t>中省</w:t>
      </w:r>
      <w:r>
        <w:rPr>
          <w:rFonts w:hint="eastAsia" w:ascii="仿宋_GB2312" w:hAnsi="仿宋_GB2312" w:eastAsia="仿宋_GB2312" w:cs="仿宋_GB2312"/>
          <w:spacing w:val="0"/>
          <w:sz w:val="32"/>
          <w:szCs w:val="32"/>
          <w:lang w:val="zh-CN" w:eastAsia="zh-CN"/>
        </w:rPr>
        <w:t>财政局下达指标结合实际，按照程序申报，目标合理可行。所有项目及时分配资金，中省下达专项经费及时完成发放。</w:t>
      </w:r>
    </w:p>
    <w:p w14:paraId="52B97B55">
      <w:pPr>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37C8B82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7C738D76">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205C19D4">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285A50A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zh-CN" w:eastAsia="zh-CN"/>
        </w:rPr>
        <w:t>通过项目绩效自评，促进</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w:t>
      </w:r>
      <w:r>
        <w:rPr>
          <w:rFonts w:hint="eastAsia" w:ascii="仿宋_GB2312" w:hAnsi="仿宋_GB2312" w:eastAsia="仿宋_GB2312" w:cs="仿宋_GB2312"/>
          <w:spacing w:val="0"/>
          <w:sz w:val="32"/>
          <w:szCs w:val="32"/>
          <w:lang w:val="zh-CN" w:eastAsia="zh-CN"/>
        </w:rPr>
        <w:t>发展。</w:t>
      </w:r>
    </w:p>
    <w:p w14:paraId="1F45A0EA">
      <w:pPr>
        <w:keepNext w:val="0"/>
        <w:keepLines w:val="0"/>
        <w:pageBreakBefore w:val="0"/>
        <w:widowControl w:val="0"/>
        <w:numPr>
          <w:ilvl w:val="0"/>
          <w:numId w:val="7"/>
        </w:numPr>
        <w:kinsoku/>
        <w:wordWrap/>
        <w:overflowPunct/>
        <w:topLinePunct w:val="0"/>
        <w:autoSpaceDE/>
        <w:autoSpaceDN/>
        <w:bidi w:val="0"/>
        <w:snapToGrid w:val="0"/>
        <w:spacing w:line="360" w:lineRule="auto"/>
        <w:ind w:firstLine="643" w:firstLineChars="200"/>
        <w:textAlignment w:val="auto"/>
        <w:outlineLvl w:val="1"/>
        <w:rPr>
          <w:rFonts w:hint="eastAsia" w:ascii="楷体_GB2312" w:hAnsi="楷体_GB2312" w:eastAsia="楷体_GB2312" w:cs="楷体_GB2312"/>
          <w:b/>
          <w:bCs/>
          <w:spacing w:val="0"/>
          <w:sz w:val="32"/>
          <w:szCs w:val="32"/>
          <w:lang w:val="zh-CN"/>
        </w:rPr>
      </w:pPr>
      <w:bookmarkStart w:id="96" w:name="_Toc6999"/>
      <w:r>
        <w:rPr>
          <w:rFonts w:hint="eastAsia" w:ascii="楷体_GB2312" w:hAnsi="楷体_GB2312" w:eastAsia="楷体_GB2312" w:cs="楷体_GB2312"/>
          <w:b/>
          <w:bCs/>
          <w:spacing w:val="0"/>
          <w:sz w:val="32"/>
          <w:szCs w:val="32"/>
          <w:lang w:val="zh-CN"/>
        </w:rPr>
        <w:t>预设问题及评价重点</w:t>
      </w:r>
      <w:bookmarkEnd w:id="96"/>
    </w:p>
    <w:p w14:paraId="0BF0A29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照绩效评价指标体系，对资金支出使用全过程及其实施效果进行综合评价和判断。</w:t>
      </w:r>
    </w:p>
    <w:p w14:paraId="623D40B0">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643" w:firstLineChars="200"/>
        <w:jc w:val="left"/>
        <w:textAlignment w:val="auto"/>
        <w:outlineLvl w:val="1"/>
        <w:rPr>
          <w:rFonts w:hint="eastAsia" w:ascii="楷体_GB2312" w:hAnsi="楷体_GB2312" w:eastAsia="楷体_GB2312" w:cs="楷体_GB2312"/>
          <w:b/>
          <w:bCs/>
          <w:spacing w:val="0"/>
          <w:sz w:val="32"/>
          <w:szCs w:val="32"/>
          <w:lang w:val="zh-CN"/>
        </w:rPr>
      </w:pPr>
      <w:bookmarkStart w:id="97" w:name="_Toc2822"/>
      <w:r>
        <w:rPr>
          <w:rFonts w:hint="eastAsia" w:ascii="楷体_GB2312" w:hAnsi="楷体_GB2312" w:eastAsia="楷体_GB2312" w:cs="楷体_GB2312"/>
          <w:b/>
          <w:bCs/>
          <w:spacing w:val="0"/>
          <w:sz w:val="32"/>
          <w:szCs w:val="32"/>
          <w:lang w:val="zh-CN"/>
        </w:rPr>
        <w:t>评价选点</w:t>
      </w:r>
      <w:bookmarkEnd w:id="97"/>
    </w:p>
    <w:p w14:paraId="6DE778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抽取检查学生资助补助补助经费。</w:t>
      </w:r>
    </w:p>
    <w:p w14:paraId="20310A64">
      <w:pPr>
        <w:keepNext w:val="0"/>
        <w:keepLines w:val="0"/>
        <w:pageBreakBefore w:val="0"/>
        <w:widowControl w:val="0"/>
        <w:numPr>
          <w:ilvl w:val="0"/>
          <w:numId w:val="7"/>
        </w:numPr>
        <w:kinsoku/>
        <w:wordWrap/>
        <w:overflowPunct/>
        <w:topLinePunct w:val="0"/>
        <w:autoSpaceDE/>
        <w:autoSpaceDN/>
        <w:bidi w:val="0"/>
        <w:snapToGrid w:val="0"/>
        <w:spacing w:line="360" w:lineRule="auto"/>
        <w:ind w:left="0" w:leftChars="0" w:firstLine="643" w:firstLineChars="200"/>
        <w:jc w:val="left"/>
        <w:textAlignment w:val="auto"/>
        <w:outlineLvl w:val="1"/>
        <w:rPr>
          <w:rFonts w:hint="eastAsia" w:ascii="楷体_GB2312" w:hAnsi="楷体_GB2312" w:eastAsia="楷体_GB2312" w:cs="楷体_GB2312"/>
          <w:b/>
          <w:bCs/>
          <w:spacing w:val="0"/>
          <w:sz w:val="32"/>
          <w:szCs w:val="32"/>
          <w:lang w:val="zh-CN"/>
        </w:rPr>
      </w:pPr>
      <w:bookmarkStart w:id="98" w:name="_Toc13077"/>
      <w:r>
        <w:rPr>
          <w:rFonts w:hint="eastAsia" w:ascii="楷体_GB2312" w:hAnsi="楷体_GB2312" w:eastAsia="楷体_GB2312" w:cs="楷体_GB2312"/>
          <w:b/>
          <w:bCs/>
          <w:spacing w:val="0"/>
          <w:sz w:val="32"/>
          <w:szCs w:val="32"/>
          <w:lang w:val="zh-CN"/>
        </w:rPr>
        <w:t>评价方法</w:t>
      </w:r>
      <w:bookmarkEnd w:id="98"/>
    </w:p>
    <w:p w14:paraId="4322271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2A2B6800">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left="0" w:leftChars="0" w:firstLine="643" w:firstLineChars="200"/>
        <w:jc w:val="left"/>
        <w:textAlignment w:val="auto"/>
        <w:outlineLvl w:val="1"/>
        <w:rPr>
          <w:rFonts w:hint="eastAsia" w:ascii="楷体_GB2312" w:hAnsi="楷体_GB2312" w:eastAsia="楷体_GB2312" w:cs="楷体_GB2312"/>
          <w:b/>
          <w:bCs/>
          <w:spacing w:val="0"/>
          <w:sz w:val="32"/>
          <w:szCs w:val="32"/>
          <w:lang w:val="zh-CN"/>
        </w:rPr>
      </w:pPr>
      <w:bookmarkStart w:id="99" w:name="_Toc3778"/>
      <w:r>
        <w:rPr>
          <w:rFonts w:hint="eastAsia" w:ascii="楷体_GB2312" w:hAnsi="楷体_GB2312" w:eastAsia="楷体_GB2312" w:cs="楷体_GB2312"/>
          <w:b/>
          <w:bCs/>
          <w:spacing w:val="0"/>
          <w:sz w:val="32"/>
          <w:szCs w:val="32"/>
          <w:lang w:val="zh-CN"/>
        </w:rPr>
        <w:t>评价组织</w:t>
      </w:r>
      <w:bookmarkEnd w:id="99"/>
    </w:p>
    <w:p w14:paraId="1CC7B25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01769115">
      <w:pPr>
        <w:pageBreakBefore w:val="0"/>
        <w:numPr>
          <w:ilvl w:val="0"/>
          <w:numId w:val="0"/>
        </w:numPr>
        <w:kinsoku/>
        <w:wordWrap/>
        <w:overflowPunct/>
        <w:topLinePunct w:val="0"/>
        <w:autoSpaceDE/>
        <w:autoSpaceDN/>
        <w:bidi w:val="0"/>
        <w:adjustRightInd w:val="0"/>
        <w:snapToGrid w:val="0"/>
        <w:spacing w:line="360" w:lineRule="auto"/>
        <w:ind w:left="0" w:leftChars="0" w:firstLine="640" w:firstLineChars="200"/>
        <w:outlineLvl w:val="0"/>
        <w:rPr>
          <w:rFonts w:hint="eastAsia" w:ascii="Times New Roman" w:hAnsi="Times New Roman" w:eastAsia="黑体" w:cs="Times New Roman"/>
          <w:sz w:val="32"/>
          <w:lang w:val="zh-CN" w:eastAsia="zh-CN"/>
        </w:rPr>
      </w:pPr>
      <w:bookmarkStart w:id="100" w:name="_Toc5276"/>
      <w:r>
        <w:rPr>
          <w:rFonts w:hint="eastAsia" w:ascii="Times New Roman" w:hAnsi="Times New Roman" w:eastAsia="黑体" w:cs="Times New Roman"/>
          <w:sz w:val="32"/>
          <w:lang w:val="zh-CN" w:eastAsia="zh-CN"/>
        </w:rPr>
        <w:t>三、绩效分析</w:t>
      </w:r>
      <w:bookmarkEnd w:id="100"/>
      <w:r>
        <w:rPr>
          <w:rFonts w:hint="eastAsia" w:ascii="Times New Roman" w:hAnsi="Times New Roman" w:eastAsia="黑体" w:cs="Times New Roman"/>
          <w:sz w:val="32"/>
          <w:lang w:val="zh-CN" w:eastAsia="zh-CN"/>
        </w:rPr>
        <w:tab/>
      </w:r>
    </w:p>
    <w:p w14:paraId="78251C1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4DAB4E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643" w:firstLineChars="200"/>
        <w:textAlignment w:val="auto"/>
        <w:outlineLvl w:val="1"/>
        <w:rPr>
          <w:rFonts w:hint="eastAsia" w:ascii="楷体_GB2312" w:hAnsi="楷体_GB2312" w:eastAsia="楷体_GB2312" w:cs="楷体_GB2312"/>
          <w:b/>
          <w:bCs/>
          <w:spacing w:val="0"/>
          <w:sz w:val="32"/>
          <w:szCs w:val="32"/>
          <w:lang w:val="en-US" w:eastAsia="zh-CN"/>
        </w:rPr>
      </w:pPr>
      <w:bookmarkStart w:id="101" w:name="_Toc15132"/>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bookmarkEnd w:id="101"/>
    </w:p>
    <w:p w14:paraId="4C377E5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3CAA670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07E9197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572C18A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4.项目结果。围绕</w:t>
      </w:r>
      <w:r>
        <w:rPr>
          <w:rFonts w:hint="eastAsia" w:ascii="仿宋_GB2312" w:hAnsi="仿宋_GB2312" w:eastAsia="仿宋_GB2312" w:cs="仿宋_GB2312"/>
          <w:spacing w:val="0"/>
          <w:sz w:val="32"/>
          <w:szCs w:val="32"/>
          <w:lang w:val="zh-CN" w:eastAsia="zh-CN"/>
        </w:rPr>
        <w:t>目标完成、完成时效进行绩效分析。</w:t>
      </w:r>
    </w:p>
    <w:p w14:paraId="0B348355">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outlineLvl w:val="1"/>
        <w:rPr>
          <w:rFonts w:hint="eastAsia" w:ascii="仿宋_GB2312" w:hAnsi="仿宋_GB2312" w:eastAsia="仿宋_GB2312" w:cs="仿宋_GB2312"/>
          <w:spacing w:val="0"/>
          <w:sz w:val="32"/>
          <w:szCs w:val="32"/>
          <w:lang w:val="zh-CN" w:eastAsia="zh-CN"/>
        </w:rPr>
      </w:pPr>
      <w:bookmarkStart w:id="102" w:name="_Toc22373"/>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bookmarkEnd w:id="102"/>
    </w:p>
    <w:p w14:paraId="5F6E4F5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项目资金合理分配到校、对象精准、分配标准合理，不仅减轻学生经济负担，助力学生成长成才，还</w:t>
      </w:r>
      <w:r>
        <w:rPr>
          <w:rFonts w:hint="eastAsia" w:ascii="仿宋_GB2312" w:hAnsi="仿宋_GB2312" w:eastAsia="仿宋_GB2312" w:cs="仿宋_GB2312"/>
          <w:spacing w:val="0"/>
          <w:sz w:val="32"/>
          <w:szCs w:val="32"/>
          <w:lang w:val="zh-CN" w:eastAsia="zh-CN"/>
        </w:rPr>
        <w:t>保障</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教育学校正常教学秩序。</w:t>
      </w:r>
    </w:p>
    <w:p w14:paraId="546AF334">
      <w:pPr>
        <w:keepNext w:val="0"/>
        <w:keepLines w:val="0"/>
        <w:pageBreakBefore w:val="0"/>
        <w:widowControl w:val="0"/>
        <w:numPr>
          <w:ilvl w:val="0"/>
          <w:numId w:val="8"/>
        </w:numPr>
        <w:kinsoku/>
        <w:wordWrap/>
        <w:overflowPunct/>
        <w:topLinePunct w:val="0"/>
        <w:autoSpaceDE/>
        <w:autoSpaceDN/>
        <w:bidi w:val="0"/>
        <w:snapToGrid w:val="0"/>
        <w:spacing w:line="360" w:lineRule="auto"/>
        <w:ind w:left="0" w:leftChars="0" w:firstLine="643" w:firstLineChars="200"/>
        <w:textAlignment w:val="auto"/>
        <w:outlineLvl w:val="1"/>
        <w:rPr>
          <w:rFonts w:hint="eastAsia" w:ascii="楷体_GB2312" w:hAnsi="楷体_GB2312" w:eastAsia="楷体_GB2312" w:cs="楷体_GB2312"/>
          <w:b/>
          <w:bCs/>
          <w:spacing w:val="0"/>
          <w:sz w:val="32"/>
          <w:szCs w:val="32"/>
          <w:lang w:val="zh-CN"/>
        </w:rPr>
      </w:pPr>
      <w:bookmarkStart w:id="103" w:name="_Toc27490"/>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bookmarkEnd w:id="103"/>
    </w:p>
    <w:p w14:paraId="0143ABC9">
      <w:pPr>
        <w:keepNext w:val="0"/>
        <w:keepLines w:val="0"/>
        <w:pageBreakBefore w:val="0"/>
        <w:widowControl w:val="0"/>
        <w:numPr>
          <w:ilvl w:val="0"/>
          <w:numId w:val="0"/>
        </w:numPr>
        <w:kinsoku/>
        <w:wordWrap/>
        <w:overflowPunct/>
        <w:topLinePunct w:val="0"/>
        <w:autoSpaceDE/>
        <w:autoSpaceDN/>
        <w:bidi w:val="0"/>
        <w:snapToGrid w:val="0"/>
        <w:spacing w:line="360" w:lineRule="auto"/>
        <w:ind w:left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免学费</w:t>
      </w:r>
      <w:r>
        <w:rPr>
          <w:rFonts w:hint="eastAsia" w:ascii="仿宋_GB2312" w:hAnsi="仿宋_GB2312" w:eastAsia="仿宋_GB2312" w:cs="仿宋_GB2312"/>
          <w:spacing w:val="0"/>
          <w:sz w:val="32"/>
          <w:szCs w:val="32"/>
          <w:lang w:val="zh-CN" w:eastAsia="zh-CN"/>
        </w:rPr>
        <w:t>补助人数/应补助人数比例100%；补助质量合格；补助时效100%；满意度大于95%。</w:t>
      </w:r>
    </w:p>
    <w:p w14:paraId="609A1362">
      <w:pPr>
        <w:pageBreakBefore w:val="0"/>
        <w:numPr>
          <w:ilvl w:val="0"/>
          <w:numId w:val="0"/>
        </w:numPr>
        <w:kinsoku/>
        <w:wordWrap/>
        <w:overflowPunct/>
        <w:topLinePunct w:val="0"/>
        <w:autoSpaceDE/>
        <w:autoSpaceDN/>
        <w:bidi w:val="0"/>
        <w:adjustRightInd w:val="0"/>
        <w:snapToGrid w:val="0"/>
        <w:spacing w:line="360" w:lineRule="auto"/>
        <w:ind w:left="0" w:leftChars="0" w:firstLine="640" w:firstLineChars="200"/>
        <w:outlineLvl w:val="0"/>
        <w:rPr>
          <w:rFonts w:hint="eastAsia" w:ascii="Times New Roman" w:hAnsi="Times New Roman" w:eastAsia="黑体" w:cs="Times New Roman"/>
          <w:sz w:val="32"/>
          <w:lang w:val="zh-CN" w:eastAsia="zh-CN"/>
        </w:rPr>
      </w:pPr>
      <w:bookmarkStart w:id="104" w:name="_Toc27733"/>
      <w:r>
        <w:rPr>
          <w:rFonts w:hint="eastAsia" w:ascii="Times New Roman" w:hAnsi="Times New Roman" w:eastAsia="黑体" w:cs="Times New Roman"/>
          <w:sz w:val="32"/>
          <w:lang w:val="zh-CN" w:eastAsia="zh-CN"/>
        </w:rPr>
        <w:t>四、评价结论</w:t>
      </w:r>
      <w:bookmarkEnd w:id="104"/>
    </w:p>
    <w:p w14:paraId="340AB2B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color w:val="auto"/>
          <w:kern w:val="0"/>
          <w:position w:val="0"/>
          <w:sz w:val="32"/>
          <w:szCs w:val="32"/>
          <w:highlight w:val="none"/>
          <w:u w:val="none"/>
          <w:shd w:val="clear" w:color="auto" w:fill="FFFFFF"/>
          <w:lang w:val="zh-CN" w:eastAsia="zh-CN" w:bidi="ar-SA"/>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绩效总体得分91分，</w:t>
      </w:r>
      <w:r>
        <w:rPr>
          <w:rFonts w:hint="eastAsia" w:ascii="仿宋_GB2312" w:hAnsi="仿宋_GB2312" w:eastAsia="仿宋_GB2312" w:cs="仿宋_GB2312"/>
          <w:spacing w:val="0"/>
          <w:sz w:val="32"/>
          <w:szCs w:val="32"/>
          <w:lang w:val="zh-CN" w:eastAsia="zh-CN"/>
        </w:rPr>
        <w:t>实施达到了预期的社会效益，教师和学生满意度较好。</w:t>
      </w:r>
    </w:p>
    <w:p w14:paraId="398D1CD4">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outlineLvl w:val="0"/>
        <w:rPr>
          <w:rFonts w:hint="eastAsia" w:ascii="仿宋_GB2312" w:hAnsi="仿宋_GB2312" w:eastAsia="仿宋_GB2312" w:cs="仿宋_GB2312"/>
          <w:spacing w:val="0"/>
          <w:sz w:val="32"/>
          <w:szCs w:val="32"/>
          <w:lang w:eastAsia="zh-CN"/>
        </w:rPr>
      </w:pPr>
      <w:bookmarkStart w:id="105" w:name="_Toc3178"/>
      <w:r>
        <w:rPr>
          <w:rFonts w:hint="eastAsia" w:ascii="Times New Roman" w:hAnsi="Times New Roman" w:eastAsia="黑体" w:cs="Times New Roman"/>
          <w:sz w:val="32"/>
          <w:lang w:val="zh-CN" w:eastAsia="zh-CN"/>
        </w:rPr>
        <w:t>五、存在主要问题</w:t>
      </w:r>
      <w:bookmarkEnd w:id="105"/>
    </w:p>
    <w:p w14:paraId="3C9FBC5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1CBF98DA">
      <w:pPr>
        <w:pageBreakBefore w:val="0"/>
        <w:numPr>
          <w:ilvl w:val="0"/>
          <w:numId w:val="0"/>
        </w:numPr>
        <w:kinsoku/>
        <w:wordWrap/>
        <w:overflowPunct/>
        <w:topLinePunct w:val="0"/>
        <w:autoSpaceDE/>
        <w:autoSpaceDN/>
        <w:bidi w:val="0"/>
        <w:adjustRightInd w:val="0"/>
        <w:snapToGrid w:val="0"/>
        <w:spacing w:line="360" w:lineRule="auto"/>
        <w:ind w:left="0" w:leftChars="0" w:firstLine="640" w:firstLineChars="200"/>
        <w:outlineLvl w:val="0"/>
        <w:rPr>
          <w:rFonts w:hint="eastAsia" w:ascii="Times New Roman" w:hAnsi="Times New Roman" w:eastAsia="黑体" w:cs="Times New Roman"/>
          <w:sz w:val="32"/>
          <w:lang w:val="zh-CN" w:eastAsia="zh-CN"/>
        </w:rPr>
      </w:pPr>
      <w:bookmarkStart w:id="106" w:name="_Toc30283"/>
      <w:r>
        <w:rPr>
          <w:rFonts w:hint="eastAsia" w:ascii="Times New Roman" w:hAnsi="Times New Roman" w:eastAsia="黑体" w:cs="Times New Roman"/>
          <w:sz w:val="32"/>
          <w:lang w:val="zh-CN" w:eastAsia="zh-CN"/>
        </w:rPr>
        <w:t>六、改进建议</w:t>
      </w:r>
      <w:bookmarkEnd w:id="106"/>
    </w:p>
    <w:p w14:paraId="25BAF775">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60CF043E">
      <w:pPr>
        <w:pStyle w:val="2"/>
        <w:rPr>
          <w:rFonts w:hint="eastAsia" w:ascii="仿宋_GB2312" w:hAnsi="仿宋_GB2312" w:eastAsia="仿宋_GB2312" w:cs="仿宋_GB2312"/>
          <w:spacing w:val="0"/>
          <w:sz w:val="32"/>
          <w:szCs w:val="32"/>
          <w:lang w:val="zh-CN" w:eastAsia="zh-CN"/>
        </w:rPr>
      </w:pPr>
    </w:p>
    <w:p w14:paraId="187073A9">
      <w:pPr>
        <w:rPr>
          <w:rFonts w:hint="eastAsia"/>
          <w:lang w:val="zh-CN" w:eastAsia="zh-CN"/>
        </w:rPr>
      </w:pPr>
    </w:p>
    <w:p w14:paraId="72BD91F5">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 项目资金分配涉及所有点位自评得分情况表</w:t>
      </w:r>
    </w:p>
    <w:p w14:paraId="583A569C">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 专项资金绩效目标完成情况自评表</w:t>
      </w:r>
    </w:p>
    <w:p w14:paraId="4B828909">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br w:type="page"/>
      </w:r>
    </w:p>
    <w:p w14:paraId="059917C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07" w:name="_Toc376"/>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07"/>
    </w:p>
    <w:p w14:paraId="78F36272">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886"/>
        <w:gridCol w:w="2893"/>
        <w:gridCol w:w="1004"/>
      </w:tblGrid>
      <w:tr w14:paraId="3EBA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exact"/>
          <w:jc w:val="center"/>
        </w:trPr>
        <w:tc>
          <w:tcPr>
            <w:tcW w:w="1135" w:type="dxa"/>
            <w:vAlign w:val="center"/>
          </w:tcPr>
          <w:p w14:paraId="24264795">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86" w:type="dxa"/>
            <w:vAlign w:val="center"/>
          </w:tcPr>
          <w:p w14:paraId="0D9EA67A">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93" w:type="dxa"/>
            <w:vAlign w:val="center"/>
          </w:tcPr>
          <w:p w14:paraId="5E0BDC3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1004" w:type="dxa"/>
            <w:vAlign w:val="center"/>
          </w:tcPr>
          <w:p w14:paraId="1179BAD8">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0CEE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exact"/>
          <w:jc w:val="center"/>
        </w:trPr>
        <w:tc>
          <w:tcPr>
            <w:tcW w:w="1135" w:type="dxa"/>
            <w:vAlign w:val="center"/>
          </w:tcPr>
          <w:p w14:paraId="29412F5A">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86" w:type="dxa"/>
            <w:vAlign w:val="center"/>
          </w:tcPr>
          <w:p w14:paraId="4BE5727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r>
              <w:rPr>
                <w:rFonts w:hint="eastAsia" w:ascii="宋体" w:hAnsi="宋体" w:cs="宋体"/>
                <w:color w:val="auto"/>
                <w:sz w:val="24"/>
                <w:szCs w:val="24"/>
                <w:highlight w:val="none"/>
                <w:u w:val="none"/>
                <w:vertAlign w:val="baseline"/>
                <w:lang w:val="en" w:eastAsia="zh-CN"/>
              </w:rPr>
              <w:t>遂宁市</w:t>
            </w:r>
            <w:r>
              <w:rPr>
                <w:rFonts w:hint="eastAsia" w:ascii="宋体" w:hAnsi="宋体" w:cs="宋体"/>
                <w:color w:val="auto"/>
                <w:sz w:val="24"/>
                <w:szCs w:val="24"/>
                <w:highlight w:val="none"/>
                <w:u w:val="none"/>
                <w:vertAlign w:val="baseline"/>
                <w:lang w:val="en-US" w:eastAsia="zh-CN"/>
              </w:rPr>
              <w:t>职业技术</w:t>
            </w:r>
            <w:r>
              <w:rPr>
                <w:rFonts w:hint="eastAsia" w:ascii="宋体" w:hAnsi="宋体" w:cs="宋体"/>
                <w:color w:val="auto"/>
                <w:sz w:val="24"/>
                <w:szCs w:val="24"/>
                <w:highlight w:val="none"/>
                <w:u w:val="none"/>
                <w:vertAlign w:val="baseline"/>
                <w:lang w:val="en" w:eastAsia="zh-CN"/>
              </w:rPr>
              <w:t>学校</w:t>
            </w:r>
          </w:p>
        </w:tc>
        <w:tc>
          <w:tcPr>
            <w:tcW w:w="2893" w:type="dxa"/>
            <w:vAlign w:val="center"/>
          </w:tcPr>
          <w:p w14:paraId="5F0EF3C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lang w:val="en-US" w:eastAsia="zh-CN"/>
              </w:rPr>
            </w:pPr>
            <w:r>
              <w:rPr>
                <w:rFonts w:hint="eastAsia" w:ascii="宋体" w:hAnsi="宋体" w:cs="宋体"/>
                <w:color w:val="auto"/>
                <w:sz w:val="24"/>
                <w:szCs w:val="24"/>
                <w:highlight w:val="none"/>
                <w:u w:val="none"/>
                <w:vertAlign w:val="baseline"/>
                <w:lang w:val="en-US" w:eastAsia="zh-CN"/>
              </w:rPr>
              <w:t>91</w:t>
            </w:r>
          </w:p>
        </w:tc>
        <w:tc>
          <w:tcPr>
            <w:tcW w:w="1004" w:type="dxa"/>
            <w:vAlign w:val="center"/>
          </w:tcPr>
          <w:p w14:paraId="77A5B72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0FEF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exact"/>
          <w:jc w:val="center"/>
        </w:trPr>
        <w:tc>
          <w:tcPr>
            <w:tcW w:w="1135" w:type="dxa"/>
            <w:vAlign w:val="center"/>
          </w:tcPr>
          <w:p w14:paraId="05BD70B1">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86" w:type="dxa"/>
            <w:vAlign w:val="center"/>
          </w:tcPr>
          <w:p w14:paraId="4B78535D">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2893" w:type="dxa"/>
            <w:vAlign w:val="center"/>
          </w:tcPr>
          <w:p w14:paraId="6144806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4" w:type="dxa"/>
            <w:vAlign w:val="center"/>
          </w:tcPr>
          <w:p w14:paraId="42D8A41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10077108">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1B76175">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7DAA0BD">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00E91AAA">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A547386">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0D2DC35B">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1E6255D8">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1772CEA">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507E5AF">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2730BFEB">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1838552E">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2E3B650C">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6B1DC5E">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63D41113">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9A6C05A">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108" w:name="_Toc20465"/>
      <w:r>
        <w:rPr>
          <w:rFonts w:hint="default" w:ascii="Times New Roman" w:hAnsi="Times New Roman" w:eastAsia="黑体" w:cs="Times New Roman"/>
          <w:kern w:val="2"/>
          <w:sz w:val="32"/>
          <w:szCs w:val="24"/>
          <w:highlight w:val="none"/>
          <w:lang w:val="en-US" w:eastAsia="zh-CN" w:bidi="ar-SA"/>
        </w:rPr>
        <w:t>附表2</w:t>
      </w:r>
      <w:bookmarkEnd w:id="108"/>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83"/>
        <w:gridCol w:w="1133"/>
        <w:gridCol w:w="1093"/>
        <w:gridCol w:w="1150"/>
        <w:gridCol w:w="985"/>
        <w:gridCol w:w="849"/>
        <w:gridCol w:w="929"/>
        <w:gridCol w:w="820"/>
        <w:gridCol w:w="1618"/>
      </w:tblGrid>
      <w:tr w14:paraId="069C4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8" w:hRule="atLeast"/>
          <w:jc w:val="center"/>
        </w:trPr>
        <w:tc>
          <w:tcPr>
            <w:tcW w:w="8960" w:type="dxa"/>
            <w:gridSpan w:val="9"/>
            <w:shd w:val="clear" w:color="auto" w:fill="auto"/>
            <w:vAlign w:val="center"/>
          </w:tcPr>
          <w:p w14:paraId="5EF95AA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18193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7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CD16E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项目名称</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FE893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学生资助补助</w:t>
            </w:r>
            <w:r>
              <w:rPr>
                <w:rFonts w:hint="default" w:ascii="宋体" w:hAnsi="宋体" w:eastAsia="宋体" w:cs="宋体"/>
                <w:i w:val="0"/>
                <w:color w:val="000000"/>
                <w:sz w:val="24"/>
                <w:szCs w:val="24"/>
                <w:u w:val="none"/>
                <w:lang w:val="en-US" w:eastAsia="zh-CN"/>
              </w:rPr>
              <w:t>补助经费</w:t>
            </w:r>
          </w:p>
        </w:tc>
      </w:tr>
      <w:tr w14:paraId="799A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7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54C6B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59C3AC">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遂宁市</w:t>
            </w:r>
            <w:r>
              <w:rPr>
                <w:rFonts w:hint="eastAsia" w:ascii="宋体" w:hAnsi="宋体" w:eastAsia="宋体" w:cs="宋体"/>
                <w:i w:val="0"/>
                <w:color w:val="000000"/>
                <w:sz w:val="24"/>
                <w:szCs w:val="24"/>
                <w:u w:val="none"/>
                <w:lang w:val="en-US" w:eastAsia="zh-CN"/>
              </w:rPr>
              <w:t>职业技术学校</w:t>
            </w:r>
          </w:p>
        </w:tc>
      </w:tr>
      <w:tr w14:paraId="33BCB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37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856C9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900E94">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auto"/>
                <w:sz w:val="24"/>
                <w:szCs w:val="24"/>
                <w:u w:val="none"/>
                <w:lang w:val="en-US" w:eastAsia="zh-CN"/>
              </w:rPr>
              <w:t>民生保障</w:t>
            </w:r>
          </w:p>
        </w:tc>
      </w:tr>
      <w:tr w14:paraId="6DD70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jc w:val="center"/>
        </w:trPr>
        <w:tc>
          <w:tcPr>
            <w:tcW w:w="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A216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47A90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43FE331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D85453">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1619D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99C0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20CCE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596344">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418C9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C88B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26A62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E0B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7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E9888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687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AA8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005B4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0AA0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CA9F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DF638E">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川财教[2024]7号</w:t>
            </w:r>
            <w:r>
              <w:rPr>
                <w:rFonts w:hint="eastAsia" w:ascii="宋体" w:hAnsi="宋体" w:eastAsia="宋体" w:cs="宋体"/>
                <w:i w:val="0"/>
                <w:color w:val="000000"/>
                <w:sz w:val="24"/>
                <w:szCs w:val="24"/>
                <w:u w:val="none"/>
                <w:lang w:eastAsia="zh-CN"/>
              </w:rPr>
              <w:t>、川财教【2024】37号</w:t>
            </w:r>
          </w:p>
        </w:tc>
      </w:tr>
      <w:tr w14:paraId="76DF8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5B3F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3B8CA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81391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主要用于保障职业教育学校正常教学秩序、对职业教育阶段贫困学生资助等</w:t>
            </w:r>
          </w:p>
        </w:tc>
      </w:tr>
      <w:tr w14:paraId="01DD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DD84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AC928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0EDEDC">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职业教育学校</w:t>
            </w:r>
          </w:p>
        </w:tc>
      </w:tr>
      <w:tr w14:paraId="76D10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0AB1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71E6B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AD38B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7C54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15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EAE8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325426E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D745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23333A">
            <w:pPr>
              <w:keepNext w:val="0"/>
              <w:keepLines w:val="0"/>
              <w:pageBreakBefore w:val="0"/>
              <w:tabs>
                <w:tab w:val="left" w:pos="2001"/>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741.88</w:t>
            </w:r>
          </w:p>
        </w:tc>
      </w:tr>
      <w:tr w14:paraId="6A63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15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F3B4B">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E47D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其中：财政拨款</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BF26BF">
            <w:pPr>
              <w:keepNext w:val="0"/>
              <w:keepLines w:val="0"/>
              <w:pageBreakBefore w:val="0"/>
              <w:tabs>
                <w:tab w:val="left" w:pos="2382"/>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741.88</w:t>
            </w:r>
          </w:p>
        </w:tc>
      </w:tr>
      <w:tr w14:paraId="0370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5" w:hRule="atLeast"/>
          <w:jc w:val="center"/>
        </w:trPr>
        <w:tc>
          <w:tcPr>
            <w:tcW w:w="15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6DB7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ACD1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2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E8F03A">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60012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9BF6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57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E25C8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7EBFF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jc w:val="center"/>
        </w:trPr>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88C9B">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57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8FE82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做好202</w:t>
            </w:r>
            <w:r>
              <w:rPr>
                <w:rFonts w:hint="eastAsia" w:ascii="宋体" w:hAnsi="宋体" w:eastAsia="宋体" w:cs="宋体"/>
                <w:i w:val="0"/>
                <w:color w:val="000000"/>
                <w:sz w:val="24"/>
                <w:szCs w:val="24"/>
                <w:u w:val="none"/>
                <w:lang w:val="en-US" w:eastAsia="zh-CN"/>
              </w:rPr>
              <w:t>4</w:t>
            </w:r>
            <w:r>
              <w:rPr>
                <w:rFonts w:hint="eastAsia" w:ascii="宋体" w:hAnsi="宋体" w:eastAsia="宋体" w:cs="宋体"/>
                <w:i w:val="0"/>
                <w:color w:val="000000"/>
                <w:sz w:val="24"/>
                <w:szCs w:val="24"/>
                <w:u w:val="none"/>
              </w:rPr>
              <w:t>年</w:t>
            </w:r>
            <w:r>
              <w:rPr>
                <w:rFonts w:hint="eastAsia" w:ascii="宋体" w:hAnsi="宋体" w:eastAsia="宋体" w:cs="宋体"/>
                <w:i w:val="0"/>
                <w:color w:val="000000"/>
                <w:sz w:val="24"/>
                <w:szCs w:val="24"/>
                <w:u w:val="none"/>
                <w:lang w:val="en-US" w:eastAsia="zh-CN"/>
              </w:rPr>
              <w:t>职业</w:t>
            </w:r>
            <w:r>
              <w:rPr>
                <w:rFonts w:hint="eastAsia" w:ascii="宋体" w:hAnsi="宋体" w:eastAsia="宋体" w:cs="宋体"/>
                <w:i w:val="0"/>
                <w:color w:val="000000"/>
                <w:sz w:val="24"/>
                <w:szCs w:val="24"/>
                <w:u w:val="none"/>
              </w:rPr>
              <w:t>教育补助经费的相关工作，确保</w:t>
            </w:r>
            <w:r>
              <w:rPr>
                <w:rFonts w:hint="eastAsia" w:ascii="宋体" w:hAnsi="宋体" w:eastAsia="宋体" w:cs="宋体"/>
                <w:i w:val="0"/>
                <w:color w:val="000000"/>
                <w:sz w:val="24"/>
                <w:szCs w:val="24"/>
                <w:u w:val="none"/>
                <w:lang w:val="en-US" w:eastAsia="zh-CN"/>
              </w:rPr>
              <w:t>学校各项工作顺利开展</w:t>
            </w:r>
            <w:r>
              <w:rPr>
                <w:rFonts w:hint="eastAsia" w:ascii="宋体" w:hAnsi="宋体" w:eastAsia="宋体" w:cs="宋体"/>
                <w:i w:val="0"/>
                <w:color w:val="000000"/>
                <w:sz w:val="24"/>
                <w:szCs w:val="24"/>
                <w:u w:val="none"/>
              </w:rPr>
              <w:t>。</w:t>
            </w:r>
          </w:p>
        </w:tc>
      </w:tr>
      <w:tr w14:paraId="41631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6" w:hRule="atLeast"/>
          <w:jc w:val="center"/>
        </w:trPr>
        <w:tc>
          <w:tcPr>
            <w:tcW w:w="3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27AD0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26F5D87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93" w:type="dxa"/>
            <w:tcBorders>
              <w:top w:val="single" w:color="auto" w:sz="4" w:space="0"/>
              <w:left w:val="single" w:color="auto" w:sz="4" w:space="0"/>
              <w:bottom w:val="single" w:color="auto" w:sz="4" w:space="0"/>
              <w:right w:val="single" w:color="auto" w:sz="4" w:space="0"/>
            </w:tcBorders>
            <w:shd w:val="clear" w:color="auto" w:fill="auto"/>
            <w:vAlign w:val="center"/>
          </w:tcPr>
          <w:p w14:paraId="5D656B3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0ABF907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15221B6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21C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D9F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120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7A6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360FE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5" w:hRule="atLeast"/>
          <w:jc w:val="center"/>
        </w:trPr>
        <w:tc>
          <w:tcPr>
            <w:tcW w:w="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3500B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79D72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1CB4D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EC0BBD2">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学生受益率</w:t>
            </w: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39250B0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7D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73D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EF1F">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2002">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161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4AF74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994E1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E5EC7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B7445A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2DD6302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AB5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1B0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8C8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A42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2A649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C6182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0C5CF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E3914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739A018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补助质量</w:t>
            </w: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33537B2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2D9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345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9508">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E1E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7F90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3983B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7B7D4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75FF1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7BED31B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190E37F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EC6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48C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A7D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116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1C28A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jc w:val="center"/>
        </w:trPr>
        <w:tc>
          <w:tcPr>
            <w:tcW w:w="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5F413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E6AE4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3" w:type="dxa"/>
            <w:tcBorders>
              <w:top w:val="single" w:color="auto" w:sz="4" w:space="0"/>
              <w:left w:val="single" w:color="auto" w:sz="4" w:space="0"/>
              <w:bottom w:val="single" w:color="auto" w:sz="4" w:space="0"/>
              <w:right w:val="single" w:color="auto" w:sz="4" w:space="0"/>
            </w:tcBorders>
            <w:shd w:val="clear" w:color="auto" w:fill="auto"/>
            <w:vAlign w:val="center"/>
          </w:tcPr>
          <w:p w14:paraId="60C2E31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4B04436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补助时效</w:t>
            </w: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600F41F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40D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793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F962">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ECE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100</w:t>
            </w:r>
          </w:p>
        </w:tc>
      </w:tr>
      <w:tr w14:paraId="5EB5C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3" w:hRule="atLeast"/>
          <w:jc w:val="center"/>
        </w:trPr>
        <w:tc>
          <w:tcPr>
            <w:tcW w:w="3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B0785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7B05FC6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5D0CE4F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93" w:type="dxa"/>
            <w:tcBorders>
              <w:top w:val="single" w:color="auto" w:sz="4" w:space="0"/>
              <w:left w:val="single" w:color="auto" w:sz="4" w:space="0"/>
              <w:bottom w:val="single" w:color="auto" w:sz="4" w:space="0"/>
              <w:right w:val="single" w:color="auto" w:sz="4" w:space="0"/>
            </w:tcBorders>
            <w:shd w:val="clear" w:color="auto" w:fill="auto"/>
            <w:vAlign w:val="center"/>
          </w:tcPr>
          <w:p w14:paraId="5D272F9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430C944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5CF22C5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满意度</w:t>
            </w:r>
          </w:p>
        </w:tc>
        <w:tc>
          <w:tcPr>
            <w:tcW w:w="985" w:type="dxa"/>
            <w:tcBorders>
              <w:top w:val="single" w:color="000000" w:sz="4" w:space="0"/>
              <w:left w:val="single" w:color="auto" w:sz="4" w:space="0"/>
              <w:bottom w:val="single" w:color="000000" w:sz="4" w:space="0"/>
              <w:right w:val="single" w:color="000000" w:sz="4" w:space="0"/>
            </w:tcBorders>
            <w:shd w:val="clear" w:color="auto" w:fill="auto"/>
            <w:vAlign w:val="center"/>
          </w:tcPr>
          <w:p w14:paraId="6BEF5838">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C941">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145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8CEC">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171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bl>
    <w:p w14:paraId="4EF351FC">
      <w:pPr>
        <w:pStyle w:val="27"/>
        <w:pageBreakBefore w:val="0"/>
        <w:kinsoku/>
        <w:wordWrap/>
        <w:overflowPunct/>
        <w:topLinePunct w:val="0"/>
        <w:autoSpaceDE/>
        <w:autoSpaceDN/>
        <w:bidi w:val="0"/>
        <w:snapToGrid w:val="0"/>
        <w:spacing w:line="360" w:lineRule="auto"/>
      </w:pPr>
    </w:p>
    <w:p w14:paraId="08B11E7C"/>
    <w:p w14:paraId="6F84E49C">
      <w:pPr>
        <w:pStyle w:val="2"/>
      </w:pPr>
    </w:p>
    <w:p w14:paraId="7FCC6B9B"/>
    <w:p w14:paraId="0D657743">
      <w:pPr>
        <w:pStyle w:val="2"/>
      </w:pPr>
    </w:p>
    <w:p w14:paraId="02AF47F8"/>
    <w:p w14:paraId="36C065B8">
      <w:pPr>
        <w:pStyle w:val="2"/>
      </w:pPr>
    </w:p>
    <w:p w14:paraId="704281C3"/>
    <w:p w14:paraId="7ABCBA3D">
      <w:pPr>
        <w:pStyle w:val="2"/>
      </w:pPr>
    </w:p>
    <w:p w14:paraId="007D3A43"/>
    <w:p w14:paraId="19D6FF1C">
      <w:pPr>
        <w:pStyle w:val="2"/>
      </w:pPr>
    </w:p>
    <w:p w14:paraId="058DAFEE"/>
    <w:p w14:paraId="576C7B5D">
      <w:pPr>
        <w:pStyle w:val="2"/>
      </w:pPr>
    </w:p>
    <w:p w14:paraId="6706A57D"/>
    <w:p w14:paraId="40C7653B">
      <w:pPr>
        <w:pStyle w:val="2"/>
      </w:pPr>
    </w:p>
    <w:p w14:paraId="4CA13F61"/>
    <w:p w14:paraId="35EB90D7">
      <w:pPr>
        <w:pStyle w:val="2"/>
      </w:pPr>
    </w:p>
    <w:p w14:paraId="4C24D065"/>
    <w:p w14:paraId="59BE3FE0">
      <w:pPr>
        <w:pStyle w:val="2"/>
      </w:pPr>
    </w:p>
    <w:p w14:paraId="48333E05"/>
    <w:p w14:paraId="0DA2AD2A">
      <w:pPr>
        <w:pStyle w:val="2"/>
      </w:pPr>
    </w:p>
    <w:p w14:paraId="06A9AF68"/>
    <w:p w14:paraId="260C6B52">
      <w:pPr>
        <w:pageBreakBefore w:val="0"/>
        <w:kinsoku/>
        <w:wordWrap/>
        <w:overflowPunct/>
        <w:topLinePunct w:val="0"/>
        <w:autoSpaceDE/>
        <w:autoSpaceDN/>
        <w:bidi w:val="0"/>
        <w:snapToGrid w:val="0"/>
        <w:spacing w:line="360" w:lineRule="auto"/>
        <w:jc w:val="both"/>
        <w:outlineLvl w:val="0"/>
        <w:rPr>
          <w:rFonts w:hint="eastAsia" w:ascii="黑体" w:hAnsi="黑体" w:eastAsia="黑体" w:cs="黑体"/>
          <w:sz w:val="44"/>
          <w:szCs w:val="44"/>
          <w:lang w:val="en-US" w:eastAsia="zh-CN"/>
        </w:rPr>
      </w:pPr>
      <w:bookmarkStart w:id="109" w:name="_Toc30006"/>
      <w:r>
        <w:rPr>
          <w:rFonts w:hint="eastAsia" w:ascii="黑体" w:hAnsi="黑体" w:eastAsia="黑体" w:cs="黑体"/>
          <w:b/>
          <w:bCs/>
          <w:spacing w:val="-20"/>
          <w:position w:val="0"/>
          <w:sz w:val="32"/>
          <w:szCs w:val="32"/>
        </w:rPr>
        <w:t>附件</w:t>
      </w:r>
      <w:r>
        <w:rPr>
          <w:rFonts w:hint="eastAsia" w:ascii="黑体" w:hAnsi="黑体" w:eastAsia="黑体" w:cs="黑体"/>
          <w:b/>
          <w:bCs/>
          <w:spacing w:val="-20"/>
          <w:position w:val="0"/>
          <w:sz w:val="32"/>
          <w:szCs w:val="32"/>
          <w:lang w:val="en-US" w:eastAsia="zh-CN"/>
        </w:rPr>
        <w:t>3</w:t>
      </w:r>
      <w:bookmarkEnd w:id="109"/>
    </w:p>
    <w:p w14:paraId="4E739D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教育发展专项资金</w:t>
      </w:r>
    </w:p>
    <w:p w14:paraId="432C2C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42C05C57">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rPr>
      </w:pPr>
    </w:p>
    <w:p w14:paraId="457F115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7BC8F790">
      <w:pPr>
        <w:pageBreakBefore w:val="0"/>
        <w:kinsoku/>
        <w:wordWrap/>
        <w:overflowPunct/>
        <w:topLinePunct w:val="0"/>
        <w:autoSpaceDE/>
        <w:autoSpaceDN/>
        <w:bidi w:val="0"/>
        <w:adjustRightInd w:val="0"/>
        <w:snapToGrid w:val="0"/>
        <w:spacing w:line="360" w:lineRule="auto"/>
        <w:ind w:firstLine="643" w:firstLineChars="200"/>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4AAC7EF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教育发展专项资金由市财政统一拨款共计</w:t>
      </w:r>
      <w:r>
        <w:rPr>
          <w:rFonts w:hint="eastAsia" w:ascii="仿宋_GB2312" w:hAnsi="仿宋_GB2312" w:eastAsia="仿宋_GB2312" w:cs="仿宋_GB2312"/>
          <w:spacing w:val="0"/>
          <w:sz w:val="32"/>
          <w:szCs w:val="32"/>
          <w:lang w:val="en-US" w:eastAsia="zh-CN"/>
        </w:rPr>
        <w:t>426.13</w:t>
      </w:r>
      <w:r>
        <w:rPr>
          <w:rFonts w:hint="eastAsia" w:ascii="仿宋_GB2312" w:hAnsi="仿宋_GB2312" w:eastAsia="仿宋_GB2312" w:cs="仿宋_GB2312"/>
          <w:spacing w:val="0"/>
          <w:sz w:val="32"/>
          <w:szCs w:val="32"/>
          <w:lang w:val="zh-CN" w:eastAsia="zh-CN"/>
        </w:rPr>
        <w:t>万元，</w:t>
      </w:r>
      <w:r>
        <w:rPr>
          <w:rFonts w:hint="eastAsia" w:ascii="仿宋_GB2312" w:hAnsi="仿宋_GB2312" w:eastAsia="仿宋_GB2312" w:cs="仿宋_GB2312"/>
          <w:spacing w:val="0"/>
          <w:sz w:val="32"/>
          <w:szCs w:val="32"/>
          <w:lang w:val="en-US" w:eastAsia="zh-CN"/>
        </w:rPr>
        <w:t>其中包含中职免学费77万元、9+3学生市级资金30万元、志强班学生资助17.5万元、学校建设317.38万元。</w:t>
      </w:r>
      <w:r>
        <w:rPr>
          <w:rFonts w:hint="eastAsia" w:ascii="仿宋_GB2312" w:hAnsi="仿宋_GB2312" w:eastAsia="仿宋_GB2312" w:cs="仿宋_GB2312"/>
          <w:spacing w:val="0"/>
          <w:sz w:val="32"/>
          <w:szCs w:val="32"/>
          <w:lang w:val="zh-CN" w:eastAsia="zh-CN"/>
        </w:rPr>
        <w:t>主要用于我校统一安排的专项项目支出和市本级学校的日常所需经费和校内建设</w:t>
      </w:r>
      <w:r>
        <w:rPr>
          <w:rFonts w:hint="eastAsia" w:ascii="仿宋_GB2312" w:hAnsi="仿宋_GB2312" w:eastAsia="仿宋_GB2312" w:cs="仿宋_GB2312"/>
          <w:spacing w:val="0"/>
          <w:sz w:val="32"/>
          <w:szCs w:val="32"/>
          <w:lang w:val="en-US" w:eastAsia="zh-CN"/>
        </w:rPr>
        <w:t>以及学生市级资助补助</w:t>
      </w:r>
      <w:r>
        <w:rPr>
          <w:rFonts w:hint="eastAsia" w:ascii="仿宋_GB2312" w:hAnsi="仿宋_GB2312" w:eastAsia="仿宋_GB2312" w:cs="仿宋_GB2312"/>
          <w:spacing w:val="0"/>
          <w:sz w:val="32"/>
          <w:szCs w:val="32"/>
          <w:lang w:val="zh-CN" w:eastAsia="zh-CN"/>
        </w:rPr>
        <w:t>，包括学校维修、设备采购、标准化考场建设、高考改革信息技术应用系统等。</w:t>
      </w:r>
    </w:p>
    <w:p w14:paraId="2908950C">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Chars="0" w:firstLine="643" w:firstLineChars="200"/>
        <w:jc w:val="left"/>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实施目的及支持方向</w:t>
      </w:r>
    </w:p>
    <w:p w14:paraId="3505EFB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保障</w:t>
      </w:r>
      <w:r>
        <w:rPr>
          <w:rFonts w:hint="eastAsia" w:ascii="仿宋_GB2312" w:hAnsi="仿宋_GB2312" w:eastAsia="仿宋_GB2312" w:cs="仿宋_GB2312"/>
          <w:spacing w:val="0"/>
          <w:sz w:val="32"/>
          <w:szCs w:val="32"/>
          <w:lang w:val="en-US" w:eastAsia="zh-CN"/>
        </w:rPr>
        <w:t>学校</w:t>
      </w:r>
      <w:r>
        <w:rPr>
          <w:rFonts w:hint="eastAsia" w:ascii="仿宋_GB2312" w:hAnsi="仿宋_GB2312" w:eastAsia="仿宋_GB2312" w:cs="仿宋_GB2312"/>
          <w:spacing w:val="0"/>
          <w:sz w:val="32"/>
          <w:szCs w:val="32"/>
          <w:lang w:val="zh-CN" w:eastAsia="zh-CN"/>
        </w:rPr>
        <w:t>正常运转、</w:t>
      </w:r>
      <w:r>
        <w:rPr>
          <w:rFonts w:hint="eastAsia" w:ascii="仿宋_GB2312" w:hAnsi="仿宋_GB2312" w:eastAsia="仿宋_GB2312" w:cs="仿宋_GB2312"/>
          <w:spacing w:val="0"/>
          <w:sz w:val="32"/>
          <w:szCs w:val="32"/>
          <w:lang w:val="en-US" w:eastAsia="zh-CN"/>
        </w:rPr>
        <w:t>保障贫困学生顺利完成学业，保障学校</w:t>
      </w:r>
      <w:r>
        <w:rPr>
          <w:rFonts w:hint="eastAsia" w:ascii="仿宋_GB2312" w:hAnsi="仿宋_GB2312" w:eastAsia="仿宋_GB2312" w:cs="仿宋_GB2312"/>
          <w:spacing w:val="0"/>
          <w:sz w:val="32"/>
          <w:szCs w:val="32"/>
          <w:lang w:val="zh-CN" w:eastAsia="zh-CN"/>
        </w:rPr>
        <w:t>完成教学活动和其他日常工作任务等方面支出。</w:t>
      </w:r>
    </w:p>
    <w:p w14:paraId="42A0A821">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643" w:firstLineChars="200"/>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en-US" w:eastAsia="zh-CN"/>
        </w:rPr>
        <w:t>预算安排及分配管理</w:t>
      </w:r>
    </w:p>
    <w:p w14:paraId="1F8193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按照市财政局下达指标结合实际，按照程序申报，目标合理可行。所有项目及时分配资金，市财政下达专项经费及时完成发放。</w:t>
      </w:r>
    </w:p>
    <w:p w14:paraId="49D30931">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63DD64B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6FCF719B">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011115B4">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2D51EC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通过项目绩效自评，保障学校正常运转，</w:t>
      </w:r>
      <w:r>
        <w:rPr>
          <w:rFonts w:hint="eastAsia" w:ascii="仿宋_GB2312" w:hAnsi="仿宋_GB2312" w:eastAsia="仿宋_GB2312" w:cs="仿宋_GB2312"/>
          <w:spacing w:val="0"/>
          <w:sz w:val="32"/>
          <w:szCs w:val="32"/>
          <w:lang w:val="en-US" w:eastAsia="zh-CN"/>
        </w:rPr>
        <w:t>保障学生顺利完成学业</w:t>
      </w:r>
      <w:r>
        <w:rPr>
          <w:rFonts w:hint="eastAsia" w:ascii="仿宋_GB2312" w:hAnsi="仿宋_GB2312" w:eastAsia="仿宋_GB2312" w:cs="仿宋_GB2312"/>
          <w:spacing w:val="0"/>
          <w:sz w:val="32"/>
          <w:szCs w:val="32"/>
          <w:lang w:val="zh-CN" w:eastAsia="zh-CN"/>
        </w:rPr>
        <w:t>。</w:t>
      </w:r>
    </w:p>
    <w:p w14:paraId="3C1ED440">
      <w:pPr>
        <w:keepNext w:val="0"/>
        <w:keepLines w:val="0"/>
        <w:pageBreakBefore w:val="0"/>
        <w:widowControl w:val="0"/>
        <w:numPr>
          <w:ilvl w:val="0"/>
          <w:numId w:val="11"/>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预设问题及评价重点</w:t>
      </w:r>
    </w:p>
    <w:p w14:paraId="0B7D1C0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按照绩效评价指标体系，对资金支出使用全过程及其实施效果进行综合评价和判断。</w:t>
      </w:r>
    </w:p>
    <w:p w14:paraId="4B83BE89">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评价选点</w:t>
      </w:r>
    </w:p>
    <w:p w14:paraId="6228887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抽取检查</w:t>
      </w:r>
      <w:r>
        <w:rPr>
          <w:rFonts w:hint="eastAsia" w:ascii="仿宋_GB2312" w:hAnsi="仿宋_GB2312" w:eastAsia="仿宋_GB2312" w:cs="仿宋_GB2312"/>
          <w:spacing w:val="0"/>
          <w:sz w:val="32"/>
          <w:szCs w:val="32"/>
          <w:lang w:val="zh-CN" w:eastAsia="zh-CN"/>
        </w:rPr>
        <w:t>教育发展专项资金</w:t>
      </w:r>
      <w:r>
        <w:rPr>
          <w:rFonts w:hint="eastAsia" w:ascii="仿宋_GB2312" w:hAnsi="仿宋_GB2312" w:eastAsia="仿宋_GB2312" w:cs="仿宋_GB2312"/>
          <w:spacing w:val="0"/>
          <w:sz w:val="32"/>
          <w:szCs w:val="32"/>
          <w:lang w:val="en-US" w:eastAsia="zh-CN"/>
        </w:rPr>
        <w:t>。</w:t>
      </w:r>
    </w:p>
    <w:p w14:paraId="28454FC5">
      <w:pPr>
        <w:keepNext w:val="0"/>
        <w:keepLines w:val="0"/>
        <w:pageBreakBefore w:val="0"/>
        <w:widowControl w:val="0"/>
        <w:numPr>
          <w:ilvl w:val="0"/>
          <w:numId w:val="11"/>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评价方法</w:t>
      </w:r>
    </w:p>
    <w:p w14:paraId="1DB26B2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67307685">
      <w:pPr>
        <w:keepNext w:val="0"/>
        <w:keepLines w:val="0"/>
        <w:pageBreakBefore w:val="0"/>
        <w:widowControl w:val="0"/>
        <w:numPr>
          <w:ilvl w:val="0"/>
          <w:numId w:val="11"/>
        </w:numPr>
        <w:kinsoku/>
        <w:wordWrap/>
        <w:overflowPunct/>
        <w:topLinePunct w:val="0"/>
        <w:autoSpaceDE/>
        <w:autoSpaceDN/>
        <w:bidi w:val="0"/>
        <w:adjustRightInd/>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评价组织</w:t>
      </w:r>
    </w:p>
    <w:p w14:paraId="4947E19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708A5CD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三、绩效分析</w:t>
      </w:r>
      <w:r>
        <w:rPr>
          <w:rFonts w:hint="eastAsia" w:ascii="Times New Roman" w:hAnsi="Times New Roman" w:eastAsia="黑体" w:cs="Times New Roman"/>
          <w:sz w:val="32"/>
          <w:lang w:val="zh-CN" w:eastAsia="zh-CN"/>
        </w:rPr>
        <w:tab/>
      </w:r>
    </w:p>
    <w:p w14:paraId="48844E5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2E03E6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p>
    <w:p w14:paraId="2E25472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 xml:space="preserve">1. </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5D937E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 xml:space="preserve">2. </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029B4FA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 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年度预算资金下达</w:t>
      </w:r>
      <w:r>
        <w:rPr>
          <w:rFonts w:hint="eastAsia" w:ascii="仿宋_GB2312" w:hAnsi="仿宋_GB2312" w:eastAsia="仿宋_GB2312" w:cs="仿宋_GB2312"/>
          <w:spacing w:val="0"/>
          <w:sz w:val="32"/>
          <w:szCs w:val="32"/>
          <w:lang w:val="en-US" w:eastAsia="zh-CN"/>
        </w:rPr>
        <w:t>共计426.13万元，</w:t>
      </w:r>
      <w:r>
        <w:rPr>
          <w:rFonts w:hint="eastAsia" w:ascii="仿宋_GB2312" w:hAnsi="仿宋_GB2312" w:eastAsia="仿宋_GB2312" w:cs="仿宋_GB2312"/>
          <w:spacing w:val="0"/>
          <w:sz w:val="32"/>
          <w:szCs w:val="32"/>
          <w:lang w:val="zh-CN" w:eastAsia="zh-CN"/>
        </w:rPr>
        <w:t>本年度支付</w:t>
      </w:r>
      <w:r>
        <w:rPr>
          <w:rFonts w:hint="eastAsia" w:ascii="仿宋_GB2312" w:hAnsi="仿宋_GB2312" w:eastAsia="仿宋_GB2312" w:cs="仿宋_GB2312"/>
          <w:spacing w:val="0"/>
          <w:sz w:val="32"/>
          <w:szCs w:val="32"/>
          <w:lang w:val="en-US" w:eastAsia="zh-CN"/>
        </w:rPr>
        <w:t>426.13万元</w:t>
      </w:r>
      <w:r>
        <w:rPr>
          <w:rFonts w:hint="eastAsia" w:ascii="仿宋_GB2312" w:hAnsi="仿宋_GB2312" w:eastAsia="仿宋_GB2312" w:cs="仿宋_GB2312"/>
          <w:spacing w:val="0"/>
          <w:sz w:val="32"/>
          <w:szCs w:val="32"/>
          <w:lang w:val="zh-CN" w:eastAsia="zh-CN"/>
        </w:rPr>
        <w:t>，</w:t>
      </w:r>
      <w:r>
        <w:rPr>
          <w:rFonts w:hint="eastAsia" w:ascii="仿宋_GB2312" w:hAnsi="仿宋_GB2312" w:eastAsia="仿宋_GB2312" w:cs="仿宋_GB2312"/>
          <w:spacing w:val="0"/>
          <w:sz w:val="32"/>
          <w:szCs w:val="32"/>
          <w:lang w:val="en-US" w:eastAsia="zh-CN"/>
        </w:rPr>
        <w:t>资金支付率100%，</w:t>
      </w:r>
      <w:r>
        <w:rPr>
          <w:rFonts w:hint="eastAsia" w:ascii="仿宋_GB2312" w:hAnsi="仿宋_GB2312" w:eastAsia="仿宋_GB2312" w:cs="仿宋_GB2312"/>
          <w:spacing w:val="0"/>
          <w:sz w:val="32"/>
          <w:szCs w:val="32"/>
          <w:lang w:val="zh-CN" w:eastAsia="zh-CN"/>
        </w:rPr>
        <w:t>资金使用合规。</w:t>
      </w:r>
    </w:p>
    <w:p w14:paraId="6E3A2B0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4. 项目结果。围绕</w:t>
      </w:r>
      <w:r>
        <w:rPr>
          <w:rFonts w:hint="eastAsia" w:ascii="仿宋_GB2312" w:hAnsi="仿宋_GB2312" w:eastAsia="仿宋_GB2312" w:cs="仿宋_GB2312"/>
          <w:spacing w:val="0"/>
          <w:sz w:val="32"/>
          <w:szCs w:val="32"/>
          <w:lang w:val="zh-CN" w:eastAsia="zh-CN"/>
        </w:rPr>
        <w:t>目标完成、完成时效进行绩效分析。</w:t>
      </w:r>
    </w:p>
    <w:p w14:paraId="4A4C3674">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p>
    <w:p w14:paraId="71FF734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项目资金合理分配到校、对象精准、分配标准合理，保障了学校的正常运转。</w:t>
      </w:r>
    </w:p>
    <w:p w14:paraId="0453AFA3">
      <w:pPr>
        <w:keepNext w:val="0"/>
        <w:keepLines w:val="0"/>
        <w:pageBreakBefore w:val="0"/>
        <w:widowControl w:val="0"/>
        <w:numPr>
          <w:ilvl w:val="0"/>
          <w:numId w:val="12"/>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p>
    <w:p w14:paraId="559A430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资金及时拨付率达100%；家长学生满意度超过95%。</w:t>
      </w:r>
    </w:p>
    <w:p w14:paraId="21A7F4A0">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四、评价结论</w:t>
      </w:r>
    </w:p>
    <w:p w14:paraId="456B276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color w:val="auto"/>
          <w:kern w:val="0"/>
          <w:position w:val="0"/>
          <w:sz w:val="32"/>
          <w:szCs w:val="32"/>
          <w:highlight w:val="none"/>
          <w:u w:val="none"/>
          <w:shd w:val="clear" w:color="auto" w:fill="FFFFFF"/>
          <w:lang w:val="zh-CN" w:eastAsia="zh-CN" w:bidi="ar-SA"/>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绩效总体得分93分，项目实施改善了学校的办学条件，</w:t>
      </w:r>
      <w:r>
        <w:rPr>
          <w:rFonts w:hint="eastAsia" w:ascii="仿宋_GB2312" w:hAnsi="仿宋_GB2312" w:eastAsia="仿宋_GB2312" w:cs="仿宋_GB2312"/>
          <w:spacing w:val="0"/>
          <w:sz w:val="32"/>
          <w:szCs w:val="32"/>
          <w:lang w:val="zh-CN" w:eastAsia="zh-CN"/>
        </w:rPr>
        <w:t>达到了预期的社会效益，教师和学生满意度较好。</w:t>
      </w:r>
    </w:p>
    <w:p w14:paraId="682464D8">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eastAsia="zh-CN"/>
        </w:rPr>
      </w:pPr>
      <w:r>
        <w:rPr>
          <w:rFonts w:hint="eastAsia" w:ascii="Times New Roman" w:hAnsi="Times New Roman" w:eastAsia="黑体" w:cs="Times New Roman"/>
          <w:sz w:val="32"/>
          <w:lang w:val="zh-CN" w:eastAsia="zh-CN"/>
        </w:rPr>
        <w:t>五、存在主要问题</w:t>
      </w:r>
    </w:p>
    <w:p w14:paraId="7007476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7676FBF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六、改进建议</w:t>
      </w:r>
    </w:p>
    <w:p w14:paraId="5E2C0326">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en"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7EC84E47">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p>
    <w:p w14:paraId="51E7BFF1">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 项目资金分配涉及所有点位自评得分情况表</w:t>
      </w:r>
    </w:p>
    <w:p w14:paraId="7211AB45">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 专项资金绩效目标完成情况自评表</w:t>
      </w:r>
    </w:p>
    <w:p w14:paraId="57F762AB">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br w:type="page"/>
      </w:r>
    </w:p>
    <w:p w14:paraId="7AA352F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10" w:name="_Toc29002"/>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10"/>
    </w:p>
    <w:p w14:paraId="70584672">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3818"/>
        <w:gridCol w:w="2842"/>
        <w:gridCol w:w="984"/>
      </w:tblGrid>
      <w:tr w14:paraId="57B2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1114" w:type="dxa"/>
            <w:vAlign w:val="center"/>
          </w:tcPr>
          <w:p w14:paraId="465949C9">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18" w:type="dxa"/>
            <w:vAlign w:val="center"/>
          </w:tcPr>
          <w:p w14:paraId="137B633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42" w:type="dxa"/>
            <w:vAlign w:val="center"/>
          </w:tcPr>
          <w:p w14:paraId="016EBCB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84" w:type="dxa"/>
            <w:vAlign w:val="center"/>
          </w:tcPr>
          <w:p w14:paraId="5E3ECDF1">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43DE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1114" w:type="dxa"/>
            <w:vAlign w:val="center"/>
          </w:tcPr>
          <w:p w14:paraId="068664FB">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18" w:type="dxa"/>
            <w:vAlign w:val="center"/>
          </w:tcPr>
          <w:p w14:paraId="29564FA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遂宁市职业技术学校</w:t>
            </w:r>
          </w:p>
        </w:tc>
        <w:tc>
          <w:tcPr>
            <w:tcW w:w="2842" w:type="dxa"/>
            <w:vAlign w:val="center"/>
          </w:tcPr>
          <w:p w14:paraId="30EB00A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93</w:t>
            </w:r>
          </w:p>
        </w:tc>
        <w:tc>
          <w:tcPr>
            <w:tcW w:w="984" w:type="dxa"/>
            <w:vAlign w:val="center"/>
          </w:tcPr>
          <w:p w14:paraId="52FE2DC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3F0A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1114" w:type="dxa"/>
            <w:vAlign w:val="center"/>
          </w:tcPr>
          <w:p w14:paraId="4915EC3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18" w:type="dxa"/>
            <w:vAlign w:val="center"/>
          </w:tcPr>
          <w:p w14:paraId="61F92EEE">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2842" w:type="dxa"/>
            <w:vAlign w:val="center"/>
          </w:tcPr>
          <w:p w14:paraId="79451B2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984" w:type="dxa"/>
            <w:vAlign w:val="center"/>
          </w:tcPr>
          <w:p w14:paraId="39430F0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0C0705B3">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C154544">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49944821">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49EE9BE">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4A17BFB1">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1EAAFEBB">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161C0A6F">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7F3B10C">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9D1FF3A">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71C783A">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63DBB070">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2F58B3A7">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23DC3CAF">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44938B1">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66889EA">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DD06424">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4153BE7">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111" w:name="_Toc8082"/>
      <w:r>
        <w:rPr>
          <w:rFonts w:hint="default" w:ascii="Times New Roman" w:hAnsi="Times New Roman" w:eastAsia="黑体" w:cs="Times New Roman"/>
          <w:kern w:val="2"/>
          <w:sz w:val="32"/>
          <w:szCs w:val="24"/>
          <w:highlight w:val="none"/>
          <w:lang w:val="en-US" w:eastAsia="zh-CN" w:bidi="ar-SA"/>
        </w:rPr>
        <w:t>附表2</w:t>
      </w:r>
      <w:bookmarkEnd w:id="111"/>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47"/>
        <w:gridCol w:w="1063"/>
        <w:gridCol w:w="1089"/>
        <w:gridCol w:w="1150"/>
        <w:gridCol w:w="981"/>
        <w:gridCol w:w="845"/>
        <w:gridCol w:w="928"/>
        <w:gridCol w:w="818"/>
        <w:gridCol w:w="1619"/>
      </w:tblGrid>
      <w:tr w14:paraId="74BD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2" w:hRule="atLeast"/>
          <w:jc w:val="center"/>
        </w:trPr>
        <w:tc>
          <w:tcPr>
            <w:tcW w:w="8940" w:type="dxa"/>
            <w:gridSpan w:val="9"/>
            <w:shd w:val="clear" w:color="auto" w:fill="auto"/>
            <w:vAlign w:val="center"/>
          </w:tcPr>
          <w:p w14:paraId="2E87A27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66B2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37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CD7CE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C9963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教育发展专项资金</w:t>
            </w:r>
          </w:p>
        </w:tc>
      </w:tr>
      <w:tr w14:paraId="0D97B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37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88659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3E5A4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遂宁市职业技术学校</w:t>
            </w:r>
            <w:r>
              <w:rPr>
                <w:rFonts w:hint="eastAsia" w:ascii="宋体" w:hAnsi="宋体" w:eastAsia="宋体" w:cs="宋体"/>
                <w:i w:val="0"/>
                <w:color w:val="000000"/>
                <w:sz w:val="24"/>
                <w:szCs w:val="24"/>
                <w:u w:val="none"/>
                <w:lang w:eastAsia="zh-CN"/>
              </w:rPr>
              <w:t>学校</w:t>
            </w:r>
          </w:p>
        </w:tc>
      </w:tr>
      <w:tr w14:paraId="65D80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37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B3D7E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51059B">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民生保障</w:t>
            </w:r>
          </w:p>
        </w:tc>
      </w:tr>
      <w:tr w14:paraId="7AA49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1" w:hRule="atLeast"/>
          <w:jc w:val="center"/>
        </w:trPr>
        <w:tc>
          <w:tcPr>
            <w:tcW w:w="4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338D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88C6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31BA73D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677372">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0D3A4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52ED7">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9319F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7FDE57">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1DE1B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1"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A971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6CE1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B33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26B44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BC7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2B8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66869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A2FBB">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49C99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91A552">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根据职业教育发展需要</w:t>
            </w:r>
          </w:p>
        </w:tc>
      </w:tr>
      <w:tr w14:paraId="7782F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B88EF">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823C1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0640F0">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学生资助和学校</w:t>
            </w:r>
            <w:r>
              <w:rPr>
                <w:rFonts w:hint="eastAsia" w:ascii="宋体" w:hAnsi="宋体" w:eastAsia="宋体" w:cs="宋体"/>
                <w:i w:val="0"/>
                <w:color w:val="000000"/>
                <w:sz w:val="24"/>
                <w:szCs w:val="24"/>
                <w:u w:val="none"/>
                <w:lang w:val="en-US" w:eastAsia="zh-CN"/>
              </w:rPr>
              <w:t>建设以及运转</w:t>
            </w:r>
          </w:p>
        </w:tc>
      </w:tr>
      <w:tr w14:paraId="769DD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C29B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1E18B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81E781">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3381D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8110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D37A6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392BC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2EE7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15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A075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41CCBBE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2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B3C6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10DD71">
            <w:pPr>
              <w:keepNext w:val="0"/>
              <w:keepLines w:val="0"/>
              <w:pageBreakBefore w:val="0"/>
              <w:tabs>
                <w:tab w:val="left" w:pos="1837"/>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426.13</w:t>
            </w:r>
          </w:p>
        </w:tc>
      </w:tr>
      <w:tr w14:paraId="2A3E4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6" w:hRule="atLeast"/>
          <w:jc w:val="center"/>
        </w:trPr>
        <w:tc>
          <w:tcPr>
            <w:tcW w:w="15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B421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EB75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其中：财政拨款</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867F00">
            <w:pPr>
              <w:keepNext w:val="0"/>
              <w:keepLines w:val="0"/>
              <w:pageBreakBefore w:val="0"/>
              <w:tabs>
                <w:tab w:val="left" w:pos="2355"/>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426.13</w:t>
            </w:r>
          </w:p>
        </w:tc>
      </w:tr>
      <w:tr w14:paraId="3954A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6" w:hRule="atLeast"/>
          <w:jc w:val="center"/>
        </w:trPr>
        <w:tc>
          <w:tcPr>
            <w:tcW w:w="15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5922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9DF5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1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AEE94F">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323A9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8303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4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577FC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2055D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42" w:hRule="atLeast"/>
          <w:jc w:val="center"/>
        </w:trPr>
        <w:tc>
          <w:tcPr>
            <w:tcW w:w="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9F6B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4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43BFFF">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对贫困学生发放生活补助，免去学费给与助学金。提高就学率。</w:t>
            </w:r>
            <w:r>
              <w:rPr>
                <w:rFonts w:hint="eastAsia" w:ascii="宋体" w:hAnsi="宋体" w:eastAsia="宋体" w:cs="宋体"/>
                <w:i w:val="0"/>
                <w:color w:val="000000"/>
                <w:sz w:val="24"/>
                <w:szCs w:val="24"/>
                <w:u w:val="none"/>
                <w:lang w:val="en-US" w:eastAsia="zh-CN"/>
              </w:rPr>
              <w:t>提升职业教育质量。</w:t>
            </w:r>
          </w:p>
        </w:tc>
      </w:tr>
      <w:tr w14:paraId="64052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1" w:hRule="atLeast"/>
          <w:jc w:val="center"/>
        </w:trPr>
        <w:tc>
          <w:tcPr>
            <w:tcW w:w="4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EC0E1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0290998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1763ADE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C7EEA1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08A0F24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670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9FE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104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F4D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546CA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1" w:hRule="atLeast"/>
          <w:jc w:val="center"/>
        </w:trPr>
        <w:tc>
          <w:tcPr>
            <w:tcW w:w="4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7AA8A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82E10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E6D51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4517D875">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受益学生率</w:t>
            </w: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4261F1F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C087">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BC8C">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1058">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541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6556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1" w:hRule="atLeast"/>
          <w:jc w:val="center"/>
        </w:trPr>
        <w:tc>
          <w:tcPr>
            <w:tcW w:w="4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42471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17781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D4743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248022B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受</w:t>
            </w:r>
            <w:r>
              <w:rPr>
                <w:rFonts w:hint="eastAsia" w:ascii="宋体" w:hAnsi="宋体" w:eastAsia="宋体" w:cs="宋体"/>
                <w:i w:val="0"/>
                <w:color w:val="000000"/>
                <w:sz w:val="24"/>
                <w:szCs w:val="24"/>
                <w:u w:val="none"/>
              </w:rPr>
              <w:t>益学校数（所）</w:t>
            </w: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61404F5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9BC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550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所</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1BF1">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6DA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r>
      <w:tr w14:paraId="3C307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94" w:hRule="atLeast"/>
          <w:jc w:val="center"/>
        </w:trPr>
        <w:tc>
          <w:tcPr>
            <w:tcW w:w="4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360FD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0EF1D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35A14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6FF2A4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贫困家庭学生上学率</w:t>
            </w: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4542349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C632">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EFD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473C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3C55">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202F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jc w:val="center"/>
        </w:trPr>
        <w:tc>
          <w:tcPr>
            <w:tcW w:w="4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0926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7BD46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F7DA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1E0A8A3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68DFEEB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1CB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EFD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671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7DC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50167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1" w:hRule="atLeast"/>
          <w:jc w:val="center"/>
        </w:trPr>
        <w:tc>
          <w:tcPr>
            <w:tcW w:w="4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64CFD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97D63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4A3DCD1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5BA7396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资金及时拨付率</w:t>
            </w: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744EF30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7F45">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8EB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4F38">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A21F">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B075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2" w:hRule="atLeast"/>
          <w:jc w:val="center"/>
        </w:trPr>
        <w:tc>
          <w:tcPr>
            <w:tcW w:w="4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AD1AE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C0E52F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2AF57FC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4F4D0A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3EAF760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234111B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家长学生满意度</w:t>
            </w:r>
          </w:p>
        </w:tc>
        <w:tc>
          <w:tcPr>
            <w:tcW w:w="981" w:type="dxa"/>
            <w:tcBorders>
              <w:top w:val="single" w:color="000000" w:sz="4" w:space="0"/>
              <w:left w:val="single" w:color="auto" w:sz="4" w:space="0"/>
              <w:bottom w:val="single" w:color="000000" w:sz="4" w:space="0"/>
              <w:right w:val="single" w:color="000000" w:sz="4" w:space="0"/>
            </w:tcBorders>
            <w:shd w:val="clear" w:color="auto" w:fill="auto"/>
            <w:vAlign w:val="center"/>
          </w:tcPr>
          <w:p w14:paraId="2940DBE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A52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DEE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84E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BB7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bl>
    <w:p w14:paraId="364A180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C34225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EFBA1E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3AC4E450">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23B737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191A1B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FFCEAD0">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6F3CD1E">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31C7BF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5B91173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B7E5A9B">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BA5DE1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C2A7FE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AF00D66">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0C59CCA">
      <w:pPr>
        <w:pageBreakBefore w:val="0"/>
        <w:kinsoku/>
        <w:wordWrap/>
        <w:overflowPunct/>
        <w:topLinePunct w:val="0"/>
        <w:autoSpaceDE/>
        <w:autoSpaceDN/>
        <w:bidi w:val="0"/>
        <w:snapToGrid w:val="0"/>
        <w:spacing w:line="360" w:lineRule="auto"/>
        <w:jc w:val="both"/>
        <w:outlineLvl w:val="0"/>
        <w:rPr>
          <w:rFonts w:hint="default" w:ascii="方正小标宋简体" w:hAnsi="方正小标宋简体" w:eastAsia="方正小标宋简体" w:cs="方正小标宋简体"/>
          <w:b/>
          <w:bCs/>
          <w:sz w:val="32"/>
          <w:szCs w:val="32"/>
          <w:lang w:val="en-US" w:eastAsia="zh-CN"/>
        </w:rPr>
      </w:pPr>
      <w:bookmarkStart w:id="112" w:name="_Toc15005"/>
      <w:r>
        <w:rPr>
          <w:rFonts w:hint="eastAsia" w:ascii="仿宋_GB2312" w:hAnsi="仿宋_GB2312" w:eastAsia="仿宋_GB2312" w:cs="仿宋_GB2312"/>
          <w:b/>
          <w:bCs/>
          <w:spacing w:val="-20"/>
          <w:position w:val="0"/>
          <w:sz w:val="32"/>
          <w:szCs w:val="32"/>
        </w:rPr>
        <w:t>附件</w:t>
      </w:r>
      <w:r>
        <w:rPr>
          <w:rFonts w:hint="eastAsia" w:ascii="仿宋_GB2312" w:hAnsi="仿宋_GB2312" w:cs="仿宋_GB2312"/>
          <w:b/>
          <w:bCs/>
          <w:spacing w:val="-20"/>
          <w:position w:val="0"/>
          <w:sz w:val="32"/>
          <w:szCs w:val="32"/>
          <w:lang w:val="en-US" w:eastAsia="zh-CN"/>
        </w:rPr>
        <w:t>4</w:t>
      </w:r>
      <w:bookmarkEnd w:id="112"/>
    </w:p>
    <w:p w14:paraId="2B90699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扶持青少年校园足球发展专项资金</w:t>
      </w:r>
    </w:p>
    <w:p w14:paraId="0C74B2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1B6BCE96">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rPr>
      </w:pPr>
    </w:p>
    <w:p w14:paraId="795572F8">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4E8334D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728ED2A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扶持青少年校园足球发展专项资金由</w:t>
      </w:r>
      <w:r>
        <w:rPr>
          <w:rFonts w:hint="eastAsia" w:ascii="仿宋_GB2312" w:hAnsi="仿宋_GB2312" w:eastAsia="仿宋_GB2312" w:cs="仿宋_GB2312"/>
          <w:spacing w:val="0"/>
          <w:sz w:val="32"/>
          <w:szCs w:val="32"/>
          <w:lang w:val="en-US" w:eastAsia="zh-CN"/>
        </w:rPr>
        <w:t>省财政统一拨款1万元。主要是</w:t>
      </w:r>
      <w:r>
        <w:rPr>
          <w:rFonts w:hint="eastAsia" w:ascii="仿宋_GB2312" w:hAnsi="仿宋_GB2312" w:eastAsia="仿宋_GB2312" w:cs="仿宋_GB2312"/>
          <w:spacing w:val="0"/>
          <w:sz w:val="32"/>
          <w:szCs w:val="32"/>
          <w:lang w:val="zh-CN" w:eastAsia="zh-CN"/>
        </w:rPr>
        <w:t>为支持校园足球发展，保障青少年身体健康。</w:t>
      </w:r>
    </w:p>
    <w:p w14:paraId="57AD6975">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实施目的及支持方向</w:t>
      </w:r>
    </w:p>
    <w:p w14:paraId="22A0DB0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为保障青少年校园足球事业发展。</w:t>
      </w:r>
    </w:p>
    <w:p w14:paraId="3CAE91CE">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643" w:firstLineChars="200"/>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en-US" w:eastAsia="zh-CN"/>
        </w:rPr>
        <w:t>预算安排及分配管理</w:t>
      </w:r>
    </w:p>
    <w:p w14:paraId="736EFCE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按照</w:t>
      </w:r>
      <w:r>
        <w:rPr>
          <w:rFonts w:hint="eastAsia" w:ascii="仿宋_GB2312" w:hAnsi="仿宋_GB2312" w:eastAsia="仿宋_GB2312" w:cs="仿宋_GB2312"/>
          <w:spacing w:val="0"/>
          <w:sz w:val="32"/>
          <w:szCs w:val="32"/>
          <w:lang w:val="en-US" w:eastAsia="zh-CN"/>
        </w:rPr>
        <w:t>省</w:t>
      </w:r>
      <w:r>
        <w:rPr>
          <w:rFonts w:hint="eastAsia" w:ascii="仿宋_GB2312" w:hAnsi="仿宋_GB2312" w:eastAsia="仿宋_GB2312" w:cs="仿宋_GB2312"/>
          <w:spacing w:val="0"/>
          <w:sz w:val="32"/>
          <w:szCs w:val="32"/>
          <w:lang w:val="zh-CN" w:eastAsia="zh-CN"/>
        </w:rPr>
        <w:t>市财政局下达指标结合实际，按照程序申报，目标合理可行。所有项目及时分配资金，省市下达专项经费及时完成发放。</w:t>
      </w:r>
    </w:p>
    <w:p w14:paraId="1DAC3406">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530A2A2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53E0A7D0">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24B00582">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18EDE3A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通过项目绩效自评，促进</w:t>
      </w:r>
      <w:r>
        <w:rPr>
          <w:rFonts w:hint="eastAsia" w:ascii="仿宋_GB2312" w:hAnsi="仿宋_GB2312" w:eastAsia="仿宋_GB2312" w:cs="仿宋_GB2312"/>
          <w:spacing w:val="0"/>
          <w:sz w:val="32"/>
          <w:szCs w:val="32"/>
          <w:lang w:val="en-US" w:eastAsia="zh-CN"/>
        </w:rPr>
        <w:t>青少年校园足球事业发展。</w:t>
      </w:r>
    </w:p>
    <w:p w14:paraId="3B67EF33">
      <w:pPr>
        <w:keepNext w:val="0"/>
        <w:keepLines w:val="0"/>
        <w:pageBreakBefore w:val="0"/>
        <w:widowControl w:val="0"/>
        <w:numPr>
          <w:ilvl w:val="0"/>
          <w:numId w:val="13"/>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预设问题及评价重点</w:t>
      </w:r>
    </w:p>
    <w:p w14:paraId="4CFAC59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按照绩效评价指标体系，对资金支出使用全过程及其实施效果进行综合评价和判断。</w:t>
      </w:r>
    </w:p>
    <w:p w14:paraId="6D62FD1C">
      <w:pPr>
        <w:keepNext w:val="0"/>
        <w:keepLines w:val="0"/>
        <w:pageBreakBefore w:val="0"/>
        <w:widowControl w:val="0"/>
        <w:numPr>
          <w:ilvl w:val="0"/>
          <w:numId w:val="13"/>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评价选点</w:t>
      </w:r>
    </w:p>
    <w:p w14:paraId="2D78190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抽取检查</w:t>
      </w:r>
      <w:r>
        <w:rPr>
          <w:rFonts w:hint="eastAsia" w:ascii="仿宋_GB2312" w:hAnsi="仿宋_GB2312" w:eastAsia="仿宋_GB2312" w:cs="仿宋_GB2312"/>
          <w:spacing w:val="0"/>
          <w:sz w:val="32"/>
          <w:szCs w:val="32"/>
          <w:lang w:val="zh-CN" w:eastAsia="zh-CN"/>
        </w:rPr>
        <w:t>扶持青少年校园足球发展专项资金。</w:t>
      </w:r>
    </w:p>
    <w:p w14:paraId="2B309B44">
      <w:pPr>
        <w:keepNext w:val="0"/>
        <w:keepLines w:val="0"/>
        <w:pageBreakBefore w:val="0"/>
        <w:widowControl w:val="0"/>
        <w:numPr>
          <w:ilvl w:val="0"/>
          <w:numId w:val="13"/>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评价方法</w:t>
      </w:r>
    </w:p>
    <w:p w14:paraId="3BBC962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066FE9E6">
      <w:pPr>
        <w:keepNext w:val="0"/>
        <w:keepLines w:val="0"/>
        <w:pageBreakBefore w:val="0"/>
        <w:widowControl w:val="0"/>
        <w:numPr>
          <w:ilvl w:val="0"/>
          <w:numId w:val="13"/>
        </w:numPr>
        <w:kinsoku/>
        <w:wordWrap/>
        <w:overflowPunct/>
        <w:topLinePunct w:val="0"/>
        <w:autoSpaceDE/>
        <w:autoSpaceDN/>
        <w:bidi w:val="0"/>
        <w:adjustRightInd/>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评价组织</w:t>
      </w:r>
    </w:p>
    <w:p w14:paraId="7CEB1D0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30C983A7">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三、绩效分析</w:t>
      </w:r>
      <w:r>
        <w:rPr>
          <w:rFonts w:hint="eastAsia" w:ascii="Times New Roman" w:hAnsi="Times New Roman" w:eastAsia="黑体" w:cs="Times New Roman"/>
          <w:sz w:val="32"/>
          <w:lang w:val="zh-CN" w:eastAsia="zh-CN"/>
        </w:rPr>
        <w:tab/>
      </w:r>
    </w:p>
    <w:p w14:paraId="741847C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7595DD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p>
    <w:p w14:paraId="6807B9A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35C4099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0B601A2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186A614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4.项目结果。围绕</w:t>
      </w:r>
      <w:r>
        <w:rPr>
          <w:rFonts w:hint="eastAsia" w:ascii="仿宋_GB2312" w:hAnsi="仿宋_GB2312" w:eastAsia="仿宋_GB2312" w:cs="仿宋_GB2312"/>
          <w:spacing w:val="0"/>
          <w:sz w:val="32"/>
          <w:szCs w:val="32"/>
          <w:lang w:val="zh-CN" w:eastAsia="zh-CN"/>
        </w:rPr>
        <w:t>目标完成、完成时效进行绩效分析。</w:t>
      </w:r>
    </w:p>
    <w:p w14:paraId="05F3860C">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p>
    <w:p w14:paraId="769B855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w:t>
      </w:r>
      <w:r>
        <w:rPr>
          <w:rFonts w:hint="eastAsia" w:ascii="仿宋_GB2312" w:hAnsi="仿宋_GB2312" w:eastAsia="仿宋_GB2312" w:cs="仿宋_GB2312"/>
          <w:spacing w:val="0"/>
          <w:sz w:val="32"/>
          <w:szCs w:val="32"/>
          <w:lang w:val="zh-CN" w:eastAsia="zh-CN"/>
        </w:rPr>
        <w:t>支持校园足球发展，保障青少年身体健康。</w:t>
      </w:r>
    </w:p>
    <w:p w14:paraId="2F6D334C">
      <w:pPr>
        <w:keepNext w:val="0"/>
        <w:keepLines w:val="0"/>
        <w:pageBreakBefore w:val="0"/>
        <w:widowControl w:val="0"/>
        <w:numPr>
          <w:ilvl w:val="0"/>
          <w:numId w:val="14"/>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p>
    <w:p w14:paraId="44630F7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体育类特色学生数量大于10人；学生体质健康测试合格率达90%；校园学生参与体育活动意愿高；学生及家长满意度达95%。</w:t>
      </w:r>
    </w:p>
    <w:p w14:paraId="726AF1FA">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四、评价结论</w:t>
      </w:r>
    </w:p>
    <w:p w14:paraId="421E323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color w:val="auto"/>
          <w:kern w:val="0"/>
          <w:position w:val="0"/>
          <w:sz w:val="32"/>
          <w:szCs w:val="32"/>
          <w:highlight w:val="none"/>
          <w:u w:val="none"/>
          <w:shd w:val="clear" w:color="auto" w:fill="FFFFFF"/>
          <w:lang w:val="zh-CN" w:eastAsia="zh-CN" w:bidi="ar-SA"/>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绩效总体得分92分，</w:t>
      </w:r>
      <w:r>
        <w:rPr>
          <w:rFonts w:hint="eastAsia" w:ascii="仿宋_GB2312" w:hAnsi="仿宋_GB2312" w:eastAsia="仿宋_GB2312" w:cs="仿宋_GB2312"/>
          <w:spacing w:val="0"/>
          <w:sz w:val="32"/>
          <w:szCs w:val="32"/>
          <w:lang w:val="zh-CN" w:eastAsia="zh-CN"/>
        </w:rPr>
        <w:t>实施达到了预期的社会效益，教师和学生满意度较好。</w:t>
      </w:r>
    </w:p>
    <w:p w14:paraId="51F5A70F">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eastAsia="zh-CN"/>
        </w:rPr>
      </w:pPr>
      <w:r>
        <w:rPr>
          <w:rFonts w:hint="eastAsia" w:ascii="Times New Roman" w:hAnsi="Times New Roman" w:eastAsia="黑体" w:cs="Times New Roman"/>
          <w:sz w:val="32"/>
          <w:lang w:val="zh-CN" w:eastAsia="zh-CN"/>
        </w:rPr>
        <w:t>五、存在主要问题</w:t>
      </w:r>
    </w:p>
    <w:p w14:paraId="3BA8E37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4A7612FC">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六、改进建议</w:t>
      </w:r>
    </w:p>
    <w:p w14:paraId="72F78424">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en"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7B8F64DA">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p>
    <w:p w14:paraId="73656A20">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 项目资金分配涉及所有点位自评得分情况表</w:t>
      </w:r>
    </w:p>
    <w:p w14:paraId="63A2F82A">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 专项资金绩效目标完成情况自评表</w:t>
      </w:r>
    </w:p>
    <w:p w14:paraId="7EFEF7E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1EB7185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55A7A9D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4CE7858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5BD033A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3F338AC4">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69BA06D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4BC216A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5BCA74C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13" w:name="_Toc3974"/>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13"/>
    </w:p>
    <w:p w14:paraId="0D245516">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3851"/>
        <w:gridCol w:w="2867"/>
        <w:gridCol w:w="995"/>
      </w:tblGrid>
      <w:tr w14:paraId="3405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jc w:val="center"/>
        </w:trPr>
        <w:tc>
          <w:tcPr>
            <w:tcW w:w="1125" w:type="dxa"/>
            <w:vAlign w:val="center"/>
          </w:tcPr>
          <w:p w14:paraId="7AE40D1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51" w:type="dxa"/>
            <w:vAlign w:val="center"/>
          </w:tcPr>
          <w:p w14:paraId="30AED50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7" w:type="dxa"/>
            <w:vAlign w:val="center"/>
          </w:tcPr>
          <w:p w14:paraId="5FCA4D2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5" w:type="dxa"/>
            <w:vAlign w:val="center"/>
          </w:tcPr>
          <w:p w14:paraId="5653DB68">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5B01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jc w:val="center"/>
        </w:trPr>
        <w:tc>
          <w:tcPr>
            <w:tcW w:w="1125" w:type="dxa"/>
            <w:vAlign w:val="center"/>
          </w:tcPr>
          <w:p w14:paraId="10C34D2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51" w:type="dxa"/>
            <w:vAlign w:val="center"/>
          </w:tcPr>
          <w:p w14:paraId="2176C0AF">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 w:eastAsia="zh-CN"/>
              </w:rPr>
              <w:t>遂宁市</w:t>
            </w:r>
            <w:r>
              <w:rPr>
                <w:rFonts w:hint="eastAsia" w:ascii="宋体" w:hAnsi="宋体" w:cs="宋体"/>
                <w:color w:val="auto"/>
                <w:sz w:val="24"/>
                <w:szCs w:val="24"/>
                <w:highlight w:val="none"/>
                <w:u w:val="none"/>
                <w:vertAlign w:val="baseline"/>
                <w:lang w:val="en-US" w:eastAsia="zh-CN"/>
              </w:rPr>
              <w:t>职业技术学校</w:t>
            </w:r>
          </w:p>
        </w:tc>
        <w:tc>
          <w:tcPr>
            <w:tcW w:w="2867" w:type="dxa"/>
            <w:vAlign w:val="center"/>
          </w:tcPr>
          <w:p w14:paraId="3CD90EB5">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92</w:t>
            </w:r>
          </w:p>
        </w:tc>
        <w:tc>
          <w:tcPr>
            <w:tcW w:w="995" w:type="dxa"/>
            <w:vAlign w:val="center"/>
          </w:tcPr>
          <w:p w14:paraId="7CEAA942">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2A33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1125" w:type="dxa"/>
            <w:vAlign w:val="center"/>
          </w:tcPr>
          <w:p w14:paraId="4906F47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51" w:type="dxa"/>
            <w:vAlign w:val="center"/>
          </w:tcPr>
          <w:p w14:paraId="193DE5A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2867" w:type="dxa"/>
            <w:vAlign w:val="center"/>
          </w:tcPr>
          <w:p w14:paraId="60242821">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995" w:type="dxa"/>
            <w:vAlign w:val="center"/>
          </w:tcPr>
          <w:p w14:paraId="104FF9B5">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67FD2BB8">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56178FFF">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92AEC8D">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189200AD">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6F16F518">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A9C454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5CB86C03">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4E48528">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4901755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A6039FA">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4164755A">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8390BE4">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590AC487">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80B6CFF">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FB3503D">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624D25DE">
      <w:pPr>
        <w:pStyle w:val="2"/>
        <w:pageBreakBefore w:val="0"/>
        <w:kinsoku/>
        <w:wordWrap/>
        <w:overflowPunct/>
        <w:topLinePunct w:val="0"/>
        <w:autoSpaceDE/>
        <w:autoSpaceDN/>
        <w:bidi w:val="0"/>
        <w:snapToGrid w:val="0"/>
        <w:spacing w:line="360" w:lineRule="auto"/>
        <w:rPr>
          <w:rFonts w:hint="default"/>
          <w:lang w:val="en-US" w:eastAsia="zh-CN"/>
        </w:rPr>
      </w:pPr>
    </w:p>
    <w:p w14:paraId="312C3D00">
      <w:pPr>
        <w:rPr>
          <w:rFonts w:hint="default"/>
          <w:lang w:val="en-US" w:eastAsia="zh-CN"/>
        </w:rPr>
      </w:pPr>
    </w:p>
    <w:p w14:paraId="66E7FD85">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114" w:name="_Toc6045"/>
      <w:r>
        <w:rPr>
          <w:rFonts w:hint="default" w:ascii="Times New Roman" w:hAnsi="Times New Roman" w:eastAsia="黑体" w:cs="Times New Roman"/>
          <w:kern w:val="2"/>
          <w:sz w:val="32"/>
          <w:szCs w:val="24"/>
          <w:highlight w:val="none"/>
          <w:lang w:val="en-US" w:eastAsia="zh-CN" w:bidi="ar-SA"/>
        </w:rPr>
        <w:t>附表2</w:t>
      </w:r>
      <w:bookmarkEnd w:id="114"/>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71"/>
        <w:gridCol w:w="1130"/>
        <w:gridCol w:w="1083"/>
        <w:gridCol w:w="1141"/>
        <w:gridCol w:w="976"/>
        <w:gridCol w:w="840"/>
        <w:gridCol w:w="921"/>
        <w:gridCol w:w="811"/>
        <w:gridCol w:w="1607"/>
      </w:tblGrid>
      <w:tr w14:paraId="0A28C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9" w:hRule="atLeast"/>
          <w:jc w:val="center"/>
        </w:trPr>
        <w:tc>
          <w:tcPr>
            <w:tcW w:w="8880" w:type="dxa"/>
            <w:gridSpan w:val="9"/>
            <w:shd w:val="clear" w:color="auto" w:fill="auto"/>
            <w:vAlign w:val="center"/>
          </w:tcPr>
          <w:p w14:paraId="01ADFE0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15D3D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21CF7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ADB46F">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扶持青少年校园足球发展专项资金</w:t>
            </w:r>
          </w:p>
        </w:tc>
      </w:tr>
      <w:tr w14:paraId="6DD1F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D0718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6D21DA">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遂宁市职业技术学校</w:t>
            </w:r>
          </w:p>
        </w:tc>
      </w:tr>
      <w:tr w14:paraId="4E78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46C1B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9019E4">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民生保障</w:t>
            </w:r>
          </w:p>
        </w:tc>
      </w:tr>
      <w:tr w14:paraId="7490B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7" w:hRule="atLeast"/>
          <w:jc w:val="center"/>
        </w:trPr>
        <w:tc>
          <w:tcPr>
            <w:tcW w:w="3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7439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F8F3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643DFC1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AF9CFA">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58692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81297">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27FE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B20004">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78DA1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7"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76F9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EABCB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252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7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7C9D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B6A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D81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0BF43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3BF7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F0CA5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8F0538">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川财教【2024】87号</w:t>
            </w:r>
          </w:p>
        </w:tc>
      </w:tr>
      <w:tr w14:paraId="59F11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7"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3531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5C753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7A03B4">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改善学校体育</w:t>
            </w:r>
            <w:r>
              <w:rPr>
                <w:rFonts w:hint="eastAsia" w:ascii="宋体" w:hAnsi="宋体" w:eastAsia="宋体" w:cs="宋体"/>
                <w:i w:val="0"/>
                <w:color w:val="000000"/>
                <w:sz w:val="24"/>
                <w:szCs w:val="24"/>
                <w:u w:val="none"/>
                <w:lang w:val="en-US" w:eastAsia="zh-CN"/>
              </w:rPr>
              <w:t>设施</w:t>
            </w:r>
            <w:r>
              <w:rPr>
                <w:rFonts w:hint="eastAsia" w:ascii="宋体" w:hAnsi="宋体" w:eastAsia="宋体" w:cs="宋体"/>
                <w:i w:val="0"/>
                <w:color w:val="000000"/>
                <w:sz w:val="24"/>
                <w:szCs w:val="24"/>
                <w:u w:val="none"/>
              </w:rPr>
              <w:t>、引领各级政府持续投入，促进学生体质健康水平提升。</w:t>
            </w:r>
          </w:p>
        </w:tc>
      </w:tr>
      <w:tr w14:paraId="54686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953CF">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A03BB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BBE3C2">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学校</w:t>
            </w:r>
          </w:p>
        </w:tc>
      </w:tr>
      <w:tr w14:paraId="1EB67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777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05E63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79E3F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306C7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150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8780A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49BCE39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562E9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C2D125">
            <w:pPr>
              <w:keepNext w:val="0"/>
              <w:keepLines w:val="0"/>
              <w:pageBreakBefore w:val="0"/>
              <w:tabs>
                <w:tab w:val="left" w:pos="1646"/>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2</w:t>
            </w:r>
          </w:p>
        </w:tc>
      </w:tr>
      <w:tr w14:paraId="28A4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5" w:hRule="atLeast"/>
          <w:jc w:val="center"/>
        </w:trPr>
        <w:tc>
          <w:tcPr>
            <w:tcW w:w="150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166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0767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F3E920">
            <w:pPr>
              <w:keepNext w:val="0"/>
              <w:keepLines w:val="0"/>
              <w:pageBreakBefore w:val="0"/>
              <w:tabs>
                <w:tab w:val="left" w:pos="1728"/>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2</w:t>
            </w:r>
          </w:p>
        </w:tc>
      </w:tr>
      <w:tr w14:paraId="63072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5" w:hRule="atLeast"/>
          <w:jc w:val="center"/>
        </w:trPr>
        <w:tc>
          <w:tcPr>
            <w:tcW w:w="150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ED97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A6C5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7AF2C9">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6088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3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553F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715D9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009C0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jc w:val="center"/>
        </w:trPr>
        <w:tc>
          <w:tcPr>
            <w:tcW w:w="3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F148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42047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改善学校体育基本办学条件，引领各级政府持续投入，促进学生体质健康水平提升。</w:t>
            </w:r>
          </w:p>
        </w:tc>
      </w:tr>
      <w:tr w14:paraId="7A2D3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5" w:hRule="atLeast"/>
          <w:jc w:val="center"/>
        </w:trPr>
        <w:tc>
          <w:tcPr>
            <w:tcW w:w="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E1E3E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67D195F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2E187C9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3275D06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76" w:type="dxa"/>
            <w:tcBorders>
              <w:top w:val="single" w:color="000000" w:sz="4" w:space="0"/>
              <w:left w:val="single" w:color="auto" w:sz="4" w:space="0"/>
              <w:bottom w:val="single" w:color="000000" w:sz="4" w:space="0"/>
              <w:right w:val="single" w:color="000000" w:sz="4" w:space="0"/>
            </w:tcBorders>
            <w:shd w:val="clear" w:color="auto" w:fill="auto"/>
            <w:vAlign w:val="center"/>
          </w:tcPr>
          <w:p w14:paraId="5594523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91E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58F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E13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CDB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38F87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0" w:hRule="atLeast"/>
          <w:jc w:val="center"/>
        </w:trPr>
        <w:tc>
          <w:tcPr>
            <w:tcW w:w="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1FB74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88C38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257FE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0B7F4C64">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校园体育活动参与人数</w:t>
            </w:r>
          </w:p>
        </w:tc>
        <w:tc>
          <w:tcPr>
            <w:tcW w:w="976" w:type="dxa"/>
            <w:tcBorders>
              <w:top w:val="single" w:color="000000" w:sz="4" w:space="0"/>
              <w:left w:val="single" w:color="auto" w:sz="4" w:space="0"/>
              <w:bottom w:val="single" w:color="000000" w:sz="4" w:space="0"/>
              <w:right w:val="single" w:color="000000" w:sz="4" w:space="0"/>
            </w:tcBorders>
            <w:shd w:val="clear" w:color="auto" w:fill="auto"/>
            <w:vAlign w:val="center"/>
          </w:tcPr>
          <w:p w14:paraId="04A164D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C89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95</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942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30A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30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45D4">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95</w:t>
            </w:r>
          </w:p>
        </w:tc>
      </w:tr>
      <w:tr w14:paraId="448F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261C5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E90DC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34FFB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127F91A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76" w:type="dxa"/>
            <w:tcBorders>
              <w:top w:val="single" w:color="000000" w:sz="4" w:space="0"/>
              <w:left w:val="single" w:color="auto" w:sz="4" w:space="0"/>
              <w:bottom w:val="single" w:color="000000" w:sz="4" w:space="0"/>
              <w:right w:val="single" w:color="000000" w:sz="4" w:space="0"/>
            </w:tcBorders>
            <w:shd w:val="clear" w:color="auto" w:fill="auto"/>
            <w:vAlign w:val="center"/>
          </w:tcPr>
          <w:p w14:paraId="736493F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40E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BAD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50E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A65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2C3F4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20" w:hRule="atLeast"/>
          <w:jc w:val="center"/>
        </w:trPr>
        <w:tc>
          <w:tcPr>
            <w:tcW w:w="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B1F9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4628B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64D33C5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552E3B2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rPr>
              <w:t>学生体质健康测试合格率</w:t>
            </w:r>
          </w:p>
        </w:tc>
        <w:tc>
          <w:tcPr>
            <w:tcW w:w="976" w:type="dxa"/>
            <w:tcBorders>
              <w:top w:val="single" w:color="000000" w:sz="4" w:space="0"/>
              <w:left w:val="single" w:color="auto" w:sz="4" w:space="0"/>
              <w:bottom w:val="single" w:color="000000" w:sz="4" w:space="0"/>
              <w:right w:val="single" w:color="000000" w:sz="4" w:space="0"/>
            </w:tcBorders>
            <w:shd w:val="clear" w:color="auto" w:fill="auto"/>
            <w:vAlign w:val="center"/>
          </w:tcPr>
          <w:p w14:paraId="40BE468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932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90</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07D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8E14">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30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926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90</w:t>
            </w:r>
          </w:p>
        </w:tc>
      </w:tr>
      <w:tr w14:paraId="726E4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20" w:hRule="atLeast"/>
          <w:jc w:val="center"/>
        </w:trPr>
        <w:tc>
          <w:tcPr>
            <w:tcW w:w="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8C6B3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DDE3A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10AE18F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4E9C185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00E246A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校园学生参与体育活动意愿</w:t>
            </w:r>
          </w:p>
        </w:tc>
        <w:tc>
          <w:tcPr>
            <w:tcW w:w="976" w:type="dxa"/>
            <w:tcBorders>
              <w:top w:val="single" w:color="000000" w:sz="4" w:space="0"/>
              <w:left w:val="single" w:color="auto" w:sz="4" w:space="0"/>
              <w:bottom w:val="single" w:color="000000" w:sz="4" w:space="0"/>
              <w:right w:val="single" w:color="000000" w:sz="4" w:space="0"/>
            </w:tcBorders>
            <w:shd w:val="clear" w:color="auto" w:fill="auto"/>
            <w:vAlign w:val="center"/>
          </w:tcPr>
          <w:p w14:paraId="6DD8388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定性</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4DB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高</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503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5CA6">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DB1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高</w:t>
            </w:r>
          </w:p>
        </w:tc>
      </w:tr>
      <w:tr w14:paraId="1133F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3" w:hRule="atLeast"/>
          <w:jc w:val="center"/>
        </w:trPr>
        <w:tc>
          <w:tcPr>
            <w:tcW w:w="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E3992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385F635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7169D35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3147FF0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0069275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4C48D8C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学生及家长</w:t>
            </w:r>
          </w:p>
        </w:tc>
        <w:tc>
          <w:tcPr>
            <w:tcW w:w="976" w:type="dxa"/>
            <w:tcBorders>
              <w:top w:val="single" w:color="000000" w:sz="4" w:space="0"/>
              <w:left w:val="single" w:color="auto" w:sz="4" w:space="0"/>
              <w:bottom w:val="single" w:color="000000" w:sz="4" w:space="0"/>
              <w:right w:val="single" w:color="000000" w:sz="4" w:space="0"/>
            </w:tcBorders>
            <w:shd w:val="clear" w:color="auto" w:fill="auto"/>
            <w:vAlign w:val="center"/>
          </w:tcPr>
          <w:p w14:paraId="7E06832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AC9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95</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7FC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DB2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10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22B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95</w:t>
            </w:r>
          </w:p>
        </w:tc>
      </w:tr>
    </w:tbl>
    <w:p w14:paraId="563CBCFF">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3732F6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3822BD1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69593D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946898E">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C86564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3491D8CC">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912DAF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5A63270">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784171B">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2925B5A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D3876E3">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B88A275">
      <w:pPr>
        <w:pageBreakBefore w:val="0"/>
        <w:kinsoku/>
        <w:wordWrap/>
        <w:overflowPunct/>
        <w:topLinePunct w:val="0"/>
        <w:autoSpaceDE/>
        <w:autoSpaceDN/>
        <w:bidi w:val="0"/>
        <w:snapToGrid w:val="0"/>
        <w:spacing w:line="360" w:lineRule="auto"/>
        <w:jc w:val="both"/>
        <w:outlineLvl w:val="0"/>
        <w:rPr>
          <w:rFonts w:hint="eastAsia" w:ascii="黑体" w:hAnsi="黑体" w:eastAsia="黑体" w:cs="黑体"/>
          <w:b w:val="0"/>
          <w:bCs w:val="0"/>
          <w:sz w:val="32"/>
          <w:szCs w:val="32"/>
          <w:lang w:val="en-US" w:eastAsia="zh-CN"/>
        </w:rPr>
      </w:pPr>
      <w:bookmarkStart w:id="115" w:name="_Toc16399"/>
      <w:r>
        <w:rPr>
          <w:rFonts w:hint="eastAsia" w:ascii="黑体" w:hAnsi="黑体" w:eastAsia="黑体" w:cs="黑体"/>
          <w:b w:val="0"/>
          <w:bCs w:val="0"/>
          <w:spacing w:val="-20"/>
          <w:position w:val="0"/>
          <w:sz w:val="32"/>
          <w:szCs w:val="32"/>
        </w:rPr>
        <w:t>附件</w:t>
      </w:r>
      <w:r>
        <w:rPr>
          <w:rFonts w:hint="eastAsia" w:ascii="黑体" w:hAnsi="黑体" w:eastAsia="黑体" w:cs="黑体"/>
          <w:b w:val="0"/>
          <w:bCs w:val="0"/>
          <w:spacing w:val="-20"/>
          <w:position w:val="0"/>
          <w:sz w:val="32"/>
          <w:szCs w:val="32"/>
          <w:lang w:val="en-US" w:eastAsia="zh-CN"/>
        </w:rPr>
        <w:t>5</w:t>
      </w:r>
      <w:bookmarkEnd w:id="115"/>
    </w:p>
    <w:p w14:paraId="0C340B2E">
      <w:pPr>
        <w:pStyle w:val="3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公共卫生特别服务岗省级补助资金</w:t>
      </w:r>
    </w:p>
    <w:p w14:paraId="7B560D87">
      <w:pPr>
        <w:pStyle w:val="3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绩效自评报告</w:t>
      </w:r>
    </w:p>
    <w:p w14:paraId="1C159A4A">
      <w:pPr>
        <w:pStyle w:val="34"/>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0"/>
        <w:jc w:val="center"/>
        <w:textAlignment w:val="auto"/>
        <w:rPr>
          <w:rFonts w:ascii="宋体" w:hAnsi="宋体"/>
          <w:color w:val="auto"/>
          <w:kern w:val="2"/>
          <w:sz w:val="32"/>
          <w:szCs w:val="32"/>
          <w:highlight w:val="none"/>
        </w:rPr>
      </w:pPr>
    </w:p>
    <w:p w14:paraId="55A5C73B">
      <w:pPr>
        <w:keepNext w:val="0"/>
        <w:keepLines w:val="0"/>
        <w:pageBreakBefore w:val="0"/>
        <w:widowControl w:val="0"/>
        <w:kinsoku/>
        <w:wordWrap/>
        <w:overflowPunct/>
        <w:topLinePunct w:val="0"/>
        <w:autoSpaceDE/>
        <w:autoSpaceDN/>
        <w:bidi w:val="0"/>
        <w:adjustRightInd/>
        <w:snapToGrid w:val="0"/>
        <w:spacing w:line="360" w:lineRule="auto"/>
        <w:ind w:right="0" w:rightChars="0" w:firstLine="640" w:firstLineChars="200"/>
        <w:textAlignment w:val="auto"/>
        <w:rPr>
          <w:rFonts w:ascii="黑体" w:hAnsi="宋体" w:eastAsia="黑体"/>
          <w:sz w:val="32"/>
          <w:szCs w:val="40"/>
          <w:highlight w:val="none"/>
          <w:lang w:val="zh-CN"/>
        </w:rPr>
      </w:pPr>
      <w:r>
        <w:rPr>
          <w:rFonts w:hint="eastAsia" w:ascii="黑体" w:hAnsi="宋体" w:eastAsia="黑体"/>
          <w:sz w:val="32"/>
          <w:szCs w:val="40"/>
          <w:highlight w:val="none"/>
        </w:rPr>
        <w:t>一、</w:t>
      </w:r>
      <w:r>
        <w:rPr>
          <w:rFonts w:hint="eastAsia" w:ascii="黑体" w:hAnsi="宋体" w:eastAsia="黑体"/>
          <w:sz w:val="32"/>
          <w:szCs w:val="40"/>
          <w:highlight w:val="none"/>
          <w:lang w:val="zh-CN"/>
        </w:rPr>
        <w:t>项目概况</w:t>
      </w:r>
    </w:p>
    <w:p w14:paraId="4E92401D">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0" w:leftChars="0" w:right="0" w:rightChars="0" w:firstLine="643" w:firstLineChars="200"/>
        <w:contextualSpacing/>
        <w:jc w:val="left"/>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780D25D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学校根据教学工作的需要，招募一名具有岗位所需的职业技术人才，提升学校应对突发重大公共卫生事件的能力。2024年财政拨入公共卫生特别岗补助资金共计5.36万元，用于支付公共卫生特别岗职工2024年工资及社会保险费用。</w:t>
      </w:r>
    </w:p>
    <w:p w14:paraId="2DED47F1">
      <w:pPr>
        <w:keepNext w:val="0"/>
        <w:keepLines w:val="0"/>
        <w:pageBreakBefore w:val="0"/>
        <w:numPr>
          <w:ilvl w:val="0"/>
          <w:numId w:val="15"/>
        </w:numPr>
        <w:kinsoku/>
        <w:wordWrap/>
        <w:overflowPunct/>
        <w:topLinePunct w:val="0"/>
        <w:autoSpaceDE/>
        <w:autoSpaceDN/>
        <w:bidi w:val="0"/>
        <w:adjustRightInd/>
        <w:snapToGrid w:val="0"/>
        <w:spacing w:line="360" w:lineRule="auto"/>
        <w:ind w:left="0" w:leftChars="0" w:right="0" w:rightChars="0"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实施目的及支持方向</w:t>
      </w:r>
    </w:p>
    <w:p w14:paraId="26F3023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ascii="楷体_GB2312" w:hAnsi="宋体" w:eastAsia="楷体_GB2312"/>
          <w:b/>
          <w:color w:val="auto"/>
          <w:sz w:val="32"/>
          <w:szCs w:val="32"/>
          <w:highlight w:val="none"/>
          <w:u w:val="none"/>
          <w:lang w:val="zh-CN"/>
        </w:rPr>
      </w:pPr>
      <w:r>
        <w:rPr>
          <w:rFonts w:hint="eastAsia" w:ascii="仿宋_GB2312" w:hAnsi="仿宋_GB2312" w:eastAsia="仿宋_GB2312" w:cs="仿宋_GB2312"/>
          <w:spacing w:val="0"/>
          <w:sz w:val="32"/>
          <w:szCs w:val="32"/>
          <w:lang w:val="zh-CN" w:eastAsia="zh-CN"/>
        </w:rPr>
        <w:t>招募具有岗位所需的职业技术人才，提升学校应对突发重大公共卫生事件的能力。</w:t>
      </w:r>
    </w:p>
    <w:p w14:paraId="22D0DC6A">
      <w:pPr>
        <w:keepNext w:val="0"/>
        <w:keepLines w:val="0"/>
        <w:pageBreakBefore w:val="0"/>
        <w:numPr>
          <w:ilvl w:val="0"/>
          <w:numId w:val="15"/>
        </w:numPr>
        <w:kinsoku/>
        <w:wordWrap/>
        <w:overflowPunct/>
        <w:topLinePunct w:val="0"/>
        <w:autoSpaceDE/>
        <w:autoSpaceDN/>
        <w:bidi w:val="0"/>
        <w:adjustRightInd/>
        <w:snapToGrid w:val="0"/>
        <w:spacing w:line="360" w:lineRule="auto"/>
        <w:ind w:left="0" w:leftChars="0" w:right="0" w:rightChars="0" w:firstLine="643" w:firstLineChars="200"/>
        <w:textAlignment w:val="auto"/>
        <w:rPr>
          <w:rFonts w:hint="default"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预算安排及分配管理</w:t>
      </w:r>
    </w:p>
    <w:p w14:paraId="76920F4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资金用于支付公共卫生特别岗职工2024年工资及社会保险费用</w:t>
      </w:r>
    </w:p>
    <w:p w14:paraId="6C7DDFE5">
      <w:pPr>
        <w:keepNext w:val="0"/>
        <w:keepLines w:val="0"/>
        <w:pageBreakBefore w:val="0"/>
        <w:numPr>
          <w:ilvl w:val="0"/>
          <w:numId w:val="15"/>
        </w:numPr>
        <w:kinsoku/>
        <w:wordWrap/>
        <w:overflowPunct/>
        <w:topLinePunct w:val="0"/>
        <w:autoSpaceDE/>
        <w:autoSpaceDN/>
        <w:bidi w:val="0"/>
        <w:adjustRightInd w:val="0"/>
        <w:snapToGrid w:val="0"/>
        <w:spacing w:line="360" w:lineRule="auto"/>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项目绩效目标设置</w:t>
      </w:r>
    </w:p>
    <w:p w14:paraId="5452A28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default"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spacing w:val="0"/>
          <w:sz w:val="32"/>
          <w:szCs w:val="32"/>
          <w:lang w:val="zh-CN" w:eastAsia="zh-CN"/>
        </w:rPr>
        <w:t>招募具有岗位所需的职业技术人才，学校根据实际情况从日常卫生抓起，提升学校应对突发重大公共卫生事件的能力。</w:t>
      </w:r>
    </w:p>
    <w:p w14:paraId="74B995E9">
      <w:pPr>
        <w:keepNext w:val="0"/>
        <w:keepLines w:val="0"/>
        <w:pageBreakBefore w:val="0"/>
        <w:widowControl w:val="0"/>
        <w:kinsoku/>
        <w:wordWrap/>
        <w:overflowPunct/>
        <w:topLinePunct w:val="0"/>
        <w:autoSpaceDE/>
        <w:autoSpaceDN/>
        <w:bidi w:val="0"/>
        <w:adjustRightInd/>
        <w:snapToGrid w:val="0"/>
        <w:spacing w:line="360" w:lineRule="auto"/>
        <w:ind w:right="0" w:rightChars="0" w:firstLine="640" w:firstLineChars="200"/>
        <w:textAlignment w:val="auto"/>
        <w:rPr>
          <w:rFonts w:hint="eastAsia" w:ascii="黑体" w:hAnsi="宋体" w:eastAsia="黑体"/>
          <w:sz w:val="32"/>
          <w:szCs w:val="40"/>
          <w:highlight w:val="none"/>
          <w:lang w:eastAsia="zh-CN"/>
        </w:rPr>
      </w:pPr>
      <w:r>
        <w:rPr>
          <w:rFonts w:hint="eastAsia" w:ascii="黑体" w:hAnsi="宋体" w:eastAsia="黑体"/>
          <w:sz w:val="32"/>
          <w:szCs w:val="40"/>
          <w:highlight w:val="none"/>
        </w:rPr>
        <w:t>二、</w:t>
      </w:r>
      <w:r>
        <w:rPr>
          <w:rFonts w:hint="eastAsia" w:ascii="黑体" w:hAnsi="宋体" w:eastAsia="黑体"/>
          <w:sz w:val="32"/>
          <w:szCs w:val="40"/>
          <w:highlight w:val="none"/>
          <w:lang w:eastAsia="zh-CN"/>
        </w:rPr>
        <w:t>评价实施</w:t>
      </w:r>
    </w:p>
    <w:p w14:paraId="330F33C1">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1D1EF47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1.</w:t>
      </w:r>
      <w:r>
        <w:rPr>
          <w:rFonts w:hint="eastAsia" w:ascii="仿宋_GB2312" w:hAnsi="仿宋_GB2312" w:eastAsia="仿宋_GB2312" w:cs="仿宋_GB2312"/>
          <w:spacing w:val="0"/>
          <w:sz w:val="32"/>
          <w:szCs w:val="32"/>
          <w:lang w:val="en-US" w:eastAsia="zh-CN"/>
        </w:rPr>
        <w:t>学校</w:t>
      </w:r>
      <w:r>
        <w:rPr>
          <w:rFonts w:hint="eastAsia" w:ascii="仿宋_GB2312" w:hAnsi="仿宋_GB2312" w:eastAsia="仿宋_GB2312" w:cs="仿宋_GB2312"/>
          <w:spacing w:val="0"/>
          <w:sz w:val="32"/>
          <w:szCs w:val="32"/>
          <w:lang w:val="zh-CN" w:eastAsia="zh-CN"/>
        </w:rPr>
        <w:t>根据项目申报和经费下达情况进行</w:t>
      </w:r>
      <w:r>
        <w:rPr>
          <w:rFonts w:hint="eastAsia" w:ascii="仿宋_GB2312" w:hAnsi="仿宋_GB2312" w:eastAsia="仿宋_GB2312" w:cs="仿宋_GB2312"/>
          <w:spacing w:val="0"/>
          <w:sz w:val="32"/>
          <w:szCs w:val="32"/>
          <w:lang w:val="en-US" w:eastAsia="zh-CN"/>
        </w:rPr>
        <w:t>资金分配和制定</w:t>
      </w:r>
      <w:r>
        <w:rPr>
          <w:rFonts w:hint="eastAsia" w:ascii="仿宋_GB2312" w:hAnsi="仿宋_GB2312" w:eastAsia="仿宋_GB2312" w:cs="仿宋_GB2312"/>
          <w:spacing w:val="0"/>
          <w:sz w:val="32"/>
          <w:szCs w:val="32"/>
          <w:lang w:val="zh-CN" w:eastAsia="zh-CN"/>
        </w:rPr>
        <w:t>项目</w:t>
      </w:r>
      <w:r>
        <w:rPr>
          <w:rFonts w:hint="eastAsia" w:ascii="仿宋_GB2312" w:hAnsi="仿宋_GB2312" w:eastAsia="仿宋_GB2312" w:cs="仿宋_GB2312"/>
          <w:spacing w:val="0"/>
          <w:sz w:val="32"/>
          <w:szCs w:val="32"/>
          <w:lang w:val="en-US" w:eastAsia="zh-CN"/>
        </w:rPr>
        <w:t>绩效表</w:t>
      </w:r>
      <w:r>
        <w:rPr>
          <w:rFonts w:hint="eastAsia" w:ascii="仿宋_GB2312" w:hAnsi="仿宋_GB2312" w:eastAsia="仿宋_GB2312" w:cs="仿宋_GB2312"/>
          <w:spacing w:val="0"/>
          <w:sz w:val="32"/>
          <w:szCs w:val="32"/>
          <w:lang w:val="zh-CN" w:eastAsia="zh-CN"/>
        </w:rPr>
        <w:t>。</w:t>
      </w:r>
    </w:p>
    <w:p w14:paraId="73C8831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eastAsia="仿宋_GB2312" w:cs="Times New Roman"/>
          <w:szCs w:val="32"/>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val="zh-CN" w:eastAsia="zh-CN"/>
        </w:rPr>
        <w:t>.</w:t>
      </w:r>
      <w:r>
        <w:rPr>
          <w:rFonts w:hint="eastAsia" w:ascii="仿宋_GB2312" w:hAnsi="仿宋_GB2312" w:eastAsia="仿宋_GB2312" w:cs="仿宋_GB2312"/>
          <w:spacing w:val="0"/>
          <w:sz w:val="32"/>
          <w:szCs w:val="32"/>
          <w:lang w:val="en-US" w:eastAsia="zh-CN"/>
        </w:rPr>
        <w:t>即时计划资金并严格监督其资金使用情况</w:t>
      </w:r>
      <w:r>
        <w:rPr>
          <w:rFonts w:hint="eastAsia" w:ascii="仿宋_GB2312" w:hAnsi="仿宋_GB2312" w:eastAsia="仿宋_GB2312" w:cs="仿宋_GB2312"/>
          <w:spacing w:val="0"/>
          <w:sz w:val="32"/>
          <w:szCs w:val="32"/>
          <w:lang w:val="zh-CN" w:eastAsia="zh-CN"/>
        </w:rPr>
        <w:t>通过项目绩效自评要实现的目的。</w:t>
      </w:r>
    </w:p>
    <w:p w14:paraId="439A9FA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（二）预设问题及评价重点</w:t>
      </w:r>
    </w:p>
    <w:p w14:paraId="3BB9550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严格按照</w:t>
      </w:r>
      <w:r>
        <w:rPr>
          <w:rFonts w:hint="eastAsia" w:ascii="仿宋_GB2312" w:hAnsi="仿宋_GB2312" w:eastAsia="仿宋_GB2312" w:cs="仿宋_GB2312"/>
          <w:spacing w:val="0"/>
          <w:sz w:val="32"/>
          <w:szCs w:val="32"/>
          <w:lang w:val="en-US" w:eastAsia="zh-CN"/>
        </w:rPr>
        <w:t>市财政局要</w:t>
      </w:r>
      <w:r>
        <w:rPr>
          <w:rFonts w:hint="eastAsia" w:ascii="仿宋_GB2312" w:hAnsi="仿宋_GB2312" w:eastAsia="仿宋_GB2312" w:cs="仿宋_GB2312"/>
          <w:spacing w:val="0"/>
          <w:sz w:val="32"/>
          <w:szCs w:val="32"/>
          <w:lang w:val="zh-CN" w:eastAsia="zh-CN"/>
        </w:rPr>
        <w:t>求，组织</w:t>
      </w:r>
      <w:r>
        <w:rPr>
          <w:rFonts w:hint="eastAsia" w:ascii="仿宋_GB2312" w:hAnsi="仿宋_GB2312" w:eastAsia="仿宋_GB2312" w:cs="仿宋_GB2312"/>
          <w:spacing w:val="0"/>
          <w:sz w:val="32"/>
          <w:szCs w:val="32"/>
          <w:lang w:val="en-US" w:eastAsia="zh-CN"/>
        </w:rPr>
        <w:t>项目实施，严审资金支付程序</w:t>
      </w:r>
      <w:r>
        <w:rPr>
          <w:rFonts w:hint="eastAsia" w:ascii="仿宋_GB2312" w:hAnsi="仿宋_GB2312" w:eastAsia="仿宋_GB2312" w:cs="仿宋_GB2312"/>
          <w:spacing w:val="0"/>
          <w:sz w:val="32"/>
          <w:szCs w:val="32"/>
          <w:lang w:val="zh-CN" w:eastAsia="zh-CN"/>
        </w:rPr>
        <w:t>；切实做到</w:t>
      </w:r>
      <w:r>
        <w:rPr>
          <w:rFonts w:hint="eastAsia" w:ascii="仿宋_GB2312" w:hAnsi="仿宋_GB2312" w:eastAsia="仿宋_GB2312" w:cs="仿宋_GB2312"/>
          <w:spacing w:val="0"/>
          <w:sz w:val="32"/>
          <w:szCs w:val="32"/>
          <w:lang w:val="en-US" w:eastAsia="zh-CN"/>
        </w:rPr>
        <w:t>各个</w:t>
      </w:r>
      <w:r>
        <w:rPr>
          <w:rFonts w:hint="eastAsia" w:ascii="仿宋_GB2312" w:hAnsi="仿宋_GB2312" w:eastAsia="仿宋_GB2312" w:cs="仿宋_GB2312"/>
          <w:spacing w:val="0"/>
          <w:sz w:val="32"/>
          <w:szCs w:val="32"/>
          <w:lang w:val="zh-CN" w:eastAsia="zh-CN"/>
        </w:rPr>
        <w:t>环节严格把关、</w:t>
      </w:r>
      <w:r>
        <w:rPr>
          <w:rFonts w:hint="eastAsia" w:ascii="仿宋_GB2312" w:hAnsi="仿宋_GB2312" w:eastAsia="仿宋_GB2312" w:cs="仿宋_GB2312"/>
          <w:spacing w:val="0"/>
          <w:sz w:val="32"/>
          <w:szCs w:val="32"/>
          <w:lang w:val="en-US" w:eastAsia="zh-CN"/>
        </w:rPr>
        <w:t>资</w:t>
      </w:r>
      <w:r>
        <w:rPr>
          <w:rFonts w:hint="eastAsia" w:ascii="仿宋_GB2312" w:hAnsi="仿宋_GB2312" w:eastAsia="仿宋_GB2312" w:cs="仿宋_GB2312"/>
          <w:spacing w:val="0"/>
          <w:sz w:val="32"/>
          <w:szCs w:val="32"/>
          <w:lang w:val="zh-CN" w:eastAsia="zh-CN"/>
        </w:rPr>
        <w:t>金</w:t>
      </w:r>
      <w:r>
        <w:rPr>
          <w:rFonts w:hint="eastAsia" w:ascii="仿宋_GB2312" w:hAnsi="仿宋_GB2312" w:eastAsia="仿宋_GB2312" w:cs="仿宋_GB2312"/>
          <w:spacing w:val="0"/>
          <w:sz w:val="32"/>
          <w:szCs w:val="32"/>
          <w:lang w:val="en-US" w:eastAsia="zh-CN"/>
        </w:rPr>
        <w:t>支付</w:t>
      </w:r>
      <w:r>
        <w:rPr>
          <w:rFonts w:hint="eastAsia" w:ascii="仿宋_GB2312" w:hAnsi="仿宋_GB2312" w:eastAsia="仿宋_GB2312" w:cs="仿宋_GB2312"/>
          <w:spacing w:val="0"/>
          <w:sz w:val="32"/>
          <w:szCs w:val="32"/>
          <w:lang w:val="zh-CN" w:eastAsia="zh-CN"/>
        </w:rPr>
        <w:t>及时到位；切实加强组织管理，落实专人负责，明确工作要求，规范工作程序，确保</w:t>
      </w:r>
      <w:r>
        <w:rPr>
          <w:rFonts w:hint="eastAsia" w:ascii="仿宋_GB2312" w:hAnsi="仿宋_GB2312" w:eastAsia="仿宋_GB2312" w:cs="仿宋_GB2312"/>
          <w:spacing w:val="0"/>
          <w:sz w:val="32"/>
          <w:szCs w:val="32"/>
          <w:lang w:val="en-US" w:eastAsia="zh-CN"/>
        </w:rPr>
        <w:t>各项</w:t>
      </w:r>
      <w:r>
        <w:rPr>
          <w:rFonts w:hint="eastAsia" w:ascii="仿宋_GB2312" w:hAnsi="仿宋_GB2312" w:eastAsia="仿宋_GB2312" w:cs="仿宋_GB2312"/>
          <w:spacing w:val="0"/>
          <w:sz w:val="32"/>
          <w:szCs w:val="32"/>
          <w:lang w:val="zh-CN" w:eastAsia="zh-CN"/>
        </w:rPr>
        <w:t>工作公开、公平、公正、顺利实施。</w:t>
      </w:r>
    </w:p>
    <w:p w14:paraId="42EBFC7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b/>
          <w:color w:val="auto"/>
          <w:sz w:val="32"/>
          <w:szCs w:val="32"/>
          <w:highlight w:val="none"/>
          <w:u w:val="none"/>
          <w:lang w:val="en-US" w:eastAsia="zh-CN"/>
        </w:rPr>
        <w:t>三</w:t>
      </w:r>
      <w:r>
        <w:rPr>
          <w:rFonts w:hint="eastAsia" w:ascii="楷体_GB2312" w:hAnsi="宋体" w:eastAsia="楷体_GB2312"/>
          <w:b/>
          <w:color w:val="auto"/>
          <w:sz w:val="32"/>
          <w:szCs w:val="32"/>
          <w:highlight w:val="none"/>
          <w:u w:val="none"/>
          <w:lang w:val="zh-CN"/>
        </w:rPr>
        <w:t>）评价选点。</w:t>
      </w:r>
    </w:p>
    <w:p w14:paraId="755422C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严格监督其资金使用情况</w:t>
      </w:r>
      <w:r>
        <w:rPr>
          <w:rFonts w:hint="eastAsia" w:ascii="仿宋_GB2312" w:hAnsi="仿宋_GB2312" w:eastAsia="仿宋_GB2312" w:cs="仿宋_GB2312"/>
          <w:spacing w:val="0"/>
          <w:sz w:val="32"/>
          <w:szCs w:val="32"/>
          <w:lang w:val="zh-CN" w:eastAsia="zh-CN"/>
        </w:rPr>
        <w:t>通过项目绩效自评要实现的目的。</w:t>
      </w:r>
    </w:p>
    <w:p w14:paraId="56A0AE2D">
      <w:pPr>
        <w:keepNext w:val="0"/>
        <w:keepLines w:val="0"/>
        <w:pageBreakBefore w:val="0"/>
        <w:widowControl w:val="0"/>
        <w:numPr>
          <w:ilvl w:val="0"/>
          <w:numId w:val="0"/>
        </w:numPr>
        <w:kinsoku/>
        <w:wordWrap/>
        <w:overflowPunct/>
        <w:topLinePunct w:val="0"/>
        <w:autoSpaceDE/>
        <w:autoSpaceDN/>
        <w:bidi w:val="0"/>
        <w:snapToGrid w:val="0"/>
        <w:spacing w:line="360" w:lineRule="auto"/>
        <w:ind w:leftChars="200"/>
        <w:jc w:val="left"/>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b/>
          <w:color w:val="auto"/>
          <w:sz w:val="32"/>
          <w:szCs w:val="32"/>
          <w:highlight w:val="none"/>
          <w:u w:val="none"/>
          <w:lang w:val="en-US" w:eastAsia="zh-CN"/>
        </w:rPr>
        <w:t>四</w:t>
      </w:r>
      <w:r>
        <w:rPr>
          <w:rFonts w:hint="eastAsia" w:ascii="楷体_GB2312" w:hAnsi="宋体" w:eastAsia="楷体_GB2312"/>
          <w:b/>
          <w:color w:val="auto"/>
          <w:sz w:val="32"/>
          <w:szCs w:val="32"/>
          <w:highlight w:val="none"/>
          <w:u w:val="none"/>
          <w:lang w:val="zh-CN"/>
        </w:rPr>
        <w:t>）评价方法。</w:t>
      </w:r>
    </w:p>
    <w:p w14:paraId="5E5E62B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10C73692">
      <w:pPr>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评价组织</w:t>
      </w:r>
    </w:p>
    <w:p w14:paraId="19FCB34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70AC494C">
      <w:pPr>
        <w:keepNext w:val="0"/>
        <w:keepLines w:val="0"/>
        <w:pageBreakBefore w:val="0"/>
        <w:kinsoku/>
        <w:wordWrap/>
        <w:overflowPunct/>
        <w:topLinePunct w:val="0"/>
        <w:autoSpaceDE/>
        <w:autoSpaceDN/>
        <w:bidi w:val="0"/>
        <w:adjustRightInd/>
        <w:snapToGrid w:val="0"/>
        <w:spacing w:line="360" w:lineRule="auto"/>
        <w:ind w:right="0" w:rightChars="0"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165A8E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default" w:ascii="仿宋_GB2312" w:hAnsi="仿宋_GB2312" w:eastAsia="仿宋_GB2312" w:cs="仿宋_GB2312"/>
          <w:spacing w:val="0"/>
          <w:sz w:val="32"/>
          <w:szCs w:val="32"/>
          <w:lang w:val="zh-CN" w:eastAsia="zh-CN"/>
        </w:rPr>
        <w:t>根据</w:t>
      </w:r>
      <w:r>
        <w:rPr>
          <w:rFonts w:hint="eastAsia" w:ascii="仿宋_GB2312" w:hAnsi="仿宋_GB2312" w:eastAsia="仿宋_GB2312" w:cs="仿宋_GB2312"/>
          <w:spacing w:val="0"/>
          <w:sz w:val="32"/>
          <w:szCs w:val="32"/>
          <w:lang w:val="zh-CN" w:eastAsia="zh-CN"/>
        </w:rPr>
        <w:t>项目</w:t>
      </w:r>
      <w:r>
        <w:rPr>
          <w:rFonts w:hint="default" w:ascii="仿宋_GB2312" w:hAnsi="仿宋_GB2312" w:eastAsia="仿宋_GB2312" w:cs="仿宋_GB2312"/>
          <w:spacing w:val="0"/>
          <w:sz w:val="32"/>
          <w:szCs w:val="32"/>
          <w:lang w:val="zh-CN" w:eastAsia="zh-CN"/>
        </w:rPr>
        <w:t>预算绩效评价指标体系“</w:t>
      </w:r>
      <w:r>
        <w:rPr>
          <w:rFonts w:hint="eastAsia" w:ascii="仿宋_GB2312" w:hAnsi="仿宋_GB2312" w:eastAsia="仿宋_GB2312" w:cs="仿宋_GB2312"/>
          <w:spacing w:val="0"/>
          <w:sz w:val="32"/>
          <w:szCs w:val="32"/>
          <w:lang w:val="zh-CN" w:eastAsia="zh-CN"/>
        </w:rPr>
        <w:t>通用指标</w:t>
      </w:r>
      <w:r>
        <w:rPr>
          <w:rFonts w:hint="default" w:ascii="仿宋_GB2312" w:hAnsi="仿宋_GB2312" w:eastAsia="仿宋_GB2312" w:cs="仿宋_GB2312"/>
          <w:spacing w:val="0"/>
          <w:sz w:val="32"/>
          <w:szCs w:val="32"/>
          <w:lang w:val="zh-CN" w:eastAsia="zh-CN"/>
        </w:rPr>
        <w:t>”</w:t>
      </w:r>
      <w:r>
        <w:rPr>
          <w:rFonts w:hint="eastAsia" w:ascii="仿宋_GB2312" w:hAnsi="仿宋_GB2312" w:eastAsia="仿宋_GB2312" w:cs="仿宋_GB2312"/>
          <w:spacing w:val="0"/>
          <w:sz w:val="32"/>
          <w:szCs w:val="32"/>
          <w:lang w:val="zh-CN" w:eastAsia="zh-CN"/>
        </w:rPr>
        <w:t>“专用指标”“个性指标”</w:t>
      </w:r>
      <w:r>
        <w:rPr>
          <w:rFonts w:hint="default" w:ascii="仿宋_GB2312" w:hAnsi="仿宋_GB2312" w:eastAsia="仿宋_GB2312" w:cs="仿宋_GB2312"/>
          <w:spacing w:val="0"/>
          <w:sz w:val="32"/>
          <w:szCs w:val="32"/>
          <w:lang w:val="zh-CN" w:eastAsia="zh-CN"/>
        </w:rPr>
        <w:t>涉及</w:t>
      </w:r>
      <w:r>
        <w:rPr>
          <w:rFonts w:hint="eastAsia" w:ascii="仿宋_GB2312" w:hAnsi="仿宋_GB2312" w:eastAsia="仿宋_GB2312" w:cs="仿宋_GB2312"/>
          <w:spacing w:val="0"/>
          <w:sz w:val="32"/>
          <w:szCs w:val="32"/>
          <w:lang w:val="zh-CN" w:eastAsia="zh-CN"/>
        </w:rPr>
        <w:t>二、三级</w:t>
      </w:r>
      <w:r>
        <w:rPr>
          <w:rFonts w:hint="default" w:ascii="仿宋_GB2312" w:hAnsi="仿宋_GB2312" w:eastAsia="仿宋_GB2312" w:cs="仿宋_GB2312"/>
          <w:spacing w:val="0"/>
          <w:sz w:val="32"/>
          <w:szCs w:val="32"/>
          <w:lang w:val="zh-CN" w:eastAsia="zh-CN"/>
        </w:rPr>
        <w:t>指标进行</w:t>
      </w:r>
      <w:r>
        <w:rPr>
          <w:rFonts w:hint="eastAsia" w:ascii="仿宋_GB2312" w:hAnsi="仿宋_GB2312" w:eastAsia="仿宋_GB2312" w:cs="仿宋_GB2312"/>
          <w:spacing w:val="0"/>
          <w:sz w:val="32"/>
          <w:szCs w:val="32"/>
          <w:lang w:val="zh-CN" w:eastAsia="zh-CN"/>
        </w:rPr>
        <w:t>逐项</w:t>
      </w:r>
      <w:r>
        <w:rPr>
          <w:rFonts w:hint="default" w:ascii="仿宋_GB2312" w:hAnsi="仿宋_GB2312" w:eastAsia="仿宋_GB2312" w:cs="仿宋_GB2312"/>
          <w:spacing w:val="0"/>
          <w:sz w:val="32"/>
          <w:szCs w:val="32"/>
          <w:lang w:val="zh-CN" w:eastAsia="zh-CN"/>
        </w:rPr>
        <w:t>绩效分析</w:t>
      </w:r>
      <w:r>
        <w:rPr>
          <w:rFonts w:hint="eastAsia" w:ascii="仿宋_GB2312" w:hAnsi="仿宋_GB2312" w:eastAsia="仿宋_GB2312" w:cs="仿宋_GB2312"/>
          <w:spacing w:val="0"/>
          <w:sz w:val="32"/>
          <w:szCs w:val="32"/>
          <w:lang w:val="zh-CN" w:eastAsia="zh-CN"/>
        </w:rPr>
        <w:t>并评分</w:t>
      </w:r>
      <w:r>
        <w:rPr>
          <w:rFonts w:hint="eastAsia" w:ascii="仿宋_GB2312" w:hAnsi="仿宋_GB2312" w:eastAsia="仿宋_GB2312" w:cs="仿宋_GB2312"/>
          <w:spacing w:val="0"/>
          <w:sz w:val="32"/>
          <w:szCs w:val="32"/>
          <w:lang w:val="en-US" w:eastAsia="zh-CN"/>
        </w:rPr>
        <w:t>。</w:t>
      </w:r>
    </w:p>
    <w:p w14:paraId="71D65DC1">
      <w:pPr>
        <w:keepNext w:val="0"/>
        <w:keepLines w:val="0"/>
        <w:pageBreakBefore w:val="0"/>
        <w:widowControl w:val="0"/>
        <w:kinsoku/>
        <w:wordWrap/>
        <w:overflowPunct/>
        <w:topLinePunct w:val="0"/>
        <w:autoSpaceDE/>
        <w:autoSpaceDN/>
        <w:bidi w:val="0"/>
        <w:adjustRightInd/>
        <w:snapToGrid w:val="0"/>
        <w:spacing w:line="360" w:lineRule="auto"/>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6100879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5E4EEE5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3F94F02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3.项目实施。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220D887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4.项目结果。围绕</w:t>
      </w:r>
      <w:r>
        <w:rPr>
          <w:rFonts w:hint="eastAsia" w:ascii="仿宋_GB2312" w:hAnsi="仿宋_GB2312" w:eastAsia="仿宋_GB2312" w:cs="仿宋_GB2312"/>
          <w:spacing w:val="0"/>
          <w:sz w:val="32"/>
          <w:szCs w:val="32"/>
          <w:lang w:val="zh-CN" w:eastAsia="zh-CN"/>
        </w:rPr>
        <w:t>目标完成、完成时效进行绩效分析。</w:t>
      </w:r>
    </w:p>
    <w:p w14:paraId="6A343B31">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p>
    <w:p w14:paraId="394BFE1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该项专项资金资金有利于职业教育发展，提高学校卫生水平，学生身体健康，教师高质量完成教学工作</w:t>
      </w:r>
      <w:r>
        <w:rPr>
          <w:rFonts w:hint="eastAsia" w:ascii="仿宋_GB2312" w:hAnsi="仿宋_GB2312" w:eastAsia="仿宋_GB2312" w:cs="仿宋_GB2312"/>
          <w:spacing w:val="0"/>
          <w:sz w:val="32"/>
          <w:szCs w:val="32"/>
          <w:lang w:val="zh-CN" w:eastAsia="zh-CN"/>
        </w:rPr>
        <w:t>。</w:t>
      </w:r>
    </w:p>
    <w:p w14:paraId="3983EB91">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eastAsia="zh-CN"/>
        </w:rPr>
        <w:t>（</w:t>
      </w:r>
      <w:r>
        <w:rPr>
          <w:rFonts w:hint="eastAsia" w:ascii="楷体_GB2312" w:hAnsi="宋体" w:eastAsia="楷体_GB2312" w:cs="Times New Roman"/>
          <w:b/>
          <w:color w:val="auto"/>
          <w:sz w:val="32"/>
          <w:szCs w:val="32"/>
          <w:highlight w:val="none"/>
          <w:u w:val="none"/>
          <w:lang w:val="en-US" w:eastAsia="zh-CN"/>
        </w:rPr>
        <w:t>三</w:t>
      </w:r>
      <w:r>
        <w:rPr>
          <w:rFonts w:hint="eastAsia" w:ascii="楷体_GB2312" w:hAnsi="宋体" w:eastAsia="楷体_GB2312" w:cs="Times New Roman"/>
          <w:b/>
          <w:color w:val="auto"/>
          <w:sz w:val="32"/>
          <w:szCs w:val="32"/>
          <w:highlight w:val="none"/>
          <w:u w:val="none"/>
          <w:lang w:val="zh-CN" w:eastAsia="zh-CN"/>
        </w:rPr>
        <w:t>）</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0CC655B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提升学校应对突发重大公共卫生事件的能力。</w:t>
      </w:r>
    </w:p>
    <w:p w14:paraId="17A0B8E3">
      <w:pPr>
        <w:pStyle w:val="6"/>
        <w:keepNext w:val="0"/>
        <w:keepLines w:val="0"/>
        <w:pageBreakBefore w:val="0"/>
        <w:numPr>
          <w:ilvl w:val="0"/>
          <w:numId w:val="0"/>
        </w:numPr>
        <w:tabs>
          <w:tab w:val="left" w:pos="2160"/>
        </w:tabs>
        <w:kinsoku/>
        <w:wordWrap/>
        <w:overflowPunct/>
        <w:topLinePunct w:val="0"/>
        <w:autoSpaceDE/>
        <w:autoSpaceDN/>
        <w:bidi w:val="0"/>
        <w:adjustRightInd/>
        <w:snapToGrid w:val="0"/>
        <w:spacing w:beforeLines="0" w:line="360" w:lineRule="auto"/>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4071E1E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color w:val="auto"/>
          <w:kern w:val="0"/>
          <w:position w:val="0"/>
          <w:sz w:val="32"/>
          <w:szCs w:val="32"/>
          <w:highlight w:val="none"/>
          <w:u w:val="none"/>
          <w:shd w:val="clear" w:color="auto" w:fill="FFFFFF"/>
          <w:lang w:val="zh-CN" w:eastAsia="zh-CN" w:bidi="ar-SA"/>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绩效总体得分93分，</w:t>
      </w:r>
      <w:r>
        <w:rPr>
          <w:rFonts w:hint="eastAsia" w:ascii="仿宋_GB2312" w:hAnsi="仿宋_GB2312" w:eastAsia="仿宋_GB2312" w:cs="仿宋_GB2312"/>
          <w:spacing w:val="0"/>
          <w:sz w:val="32"/>
          <w:szCs w:val="32"/>
          <w:lang w:val="zh-CN" w:eastAsia="zh-CN"/>
        </w:rPr>
        <w:t>实施达到了预期的社会效益，教师和学生满意度较好。</w:t>
      </w:r>
    </w:p>
    <w:p w14:paraId="02DEE732">
      <w:pPr>
        <w:pStyle w:val="6"/>
        <w:keepNext w:val="0"/>
        <w:keepLines w:val="0"/>
        <w:pageBreakBefore w:val="0"/>
        <w:numPr>
          <w:ilvl w:val="0"/>
          <w:numId w:val="0"/>
        </w:numPr>
        <w:tabs>
          <w:tab w:val="left" w:pos="2160"/>
        </w:tabs>
        <w:kinsoku/>
        <w:wordWrap/>
        <w:overflowPunct/>
        <w:topLinePunct w:val="0"/>
        <w:autoSpaceDE/>
        <w:autoSpaceDN/>
        <w:bidi w:val="0"/>
        <w:adjustRightInd/>
        <w:snapToGrid w:val="0"/>
        <w:spacing w:beforeLines="0" w:line="360" w:lineRule="auto"/>
        <w:ind w:right="0" w:rightChars="0" w:firstLine="640" w:firstLineChars="200"/>
        <w:textAlignment w:val="auto"/>
        <w:rPr>
          <w:rFonts w:hint="eastAsia" w:ascii="黑体" w:hAnsi="宋体" w:eastAsia="黑体"/>
          <w:color w:val="auto"/>
          <w:sz w:val="32"/>
          <w:szCs w:val="32"/>
          <w:highlight w:val="none"/>
          <w:u w:val="none"/>
          <w:lang w:eastAsia="zh-CN"/>
        </w:rPr>
      </w:pPr>
      <w:r>
        <w:rPr>
          <w:rFonts w:hint="eastAsia" w:ascii="黑体" w:hAnsi="宋体" w:eastAsia="黑体"/>
          <w:color w:val="auto"/>
          <w:sz w:val="32"/>
          <w:szCs w:val="32"/>
          <w:highlight w:val="none"/>
          <w:u w:val="none"/>
          <w:lang w:eastAsia="zh-CN"/>
        </w:rPr>
        <w:t>五、存在主要问题</w:t>
      </w:r>
    </w:p>
    <w:p w14:paraId="27E7F40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5BDB27C9">
      <w:pPr>
        <w:pStyle w:val="6"/>
        <w:keepNext w:val="0"/>
        <w:keepLines w:val="0"/>
        <w:pageBreakBefore w:val="0"/>
        <w:numPr>
          <w:ilvl w:val="0"/>
          <w:numId w:val="0"/>
        </w:numPr>
        <w:tabs>
          <w:tab w:val="left" w:pos="2160"/>
        </w:tabs>
        <w:kinsoku/>
        <w:wordWrap/>
        <w:overflowPunct/>
        <w:topLinePunct w:val="0"/>
        <w:autoSpaceDE/>
        <w:autoSpaceDN/>
        <w:bidi w:val="0"/>
        <w:adjustRightInd/>
        <w:snapToGrid w:val="0"/>
        <w:spacing w:beforeLines="0" w:line="360" w:lineRule="auto"/>
        <w:ind w:right="0" w:rightChars="0"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058F3E1B">
      <w:pPr>
        <w:keepNext w:val="0"/>
        <w:keepLines w:val="0"/>
        <w:pageBreakBefore w:val="0"/>
        <w:tabs>
          <w:tab w:val="left" w:pos="1911"/>
        </w:tabs>
        <w:kinsoku/>
        <w:wordWrap/>
        <w:overflowPunct/>
        <w:topLinePunct w:val="0"/>
        <w:autoSpaceDE/>
        <w:autoSpaceDN/>
        <w:bidi w:val="0"/>
        <w:adjustRightInd/>
        <w:snapToGrid w:val="0"/>
        <w:spacing w:line="360" w:lineRule="auto"/>
        <w:ind w:right="0" w:rightChars="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b w:val="0"/>
          <w:bCs w:val="0"/>
          <w:kern w:val="0"/>
          <w:position w:val="0"/>
          <w:sz w:val="32"/>
          <w:szCs w:val="32"/>
          <w:highlight w:val="none"/>
          <w:lang w:val="en-US" w:eastAsia="zh-CN" w:bidi="ar-SA"/>
        </w:rPr>
        <w:t xml:space="preserve"> </w:t>
      </w:r>
      <w:r>
        <w:rPr>
          <w:rFonts w:hint="eastAsia" w:ascii="仿宋_GB2312" w:hAnsi="仿宋_GB2312" w:eastAsia="仿宋_GB2312" w:cs="仿宋_GB2312"/>
          <w:spacing w:val="0"/>
          <w:sz w:val="32"/>
          <w:szCs w:val="32"/>
          <w:lang w:val="en-US" w:eastAsia="zh-CN"/>
        </w:rPr>
        <w:t xml:space="preserve">  无.</w:t>
      </w:r>
    </w:p>
    <w:p w14:paraId="6CB60BB2">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3A463C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附表：1.项目资金分配涉及所有点位自评得分情况表</w:t>
      </w:r>
    </w:p>
    <w:p w14:paraId="16C0F98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1600" w:firstLineChars="500"/>
        <w:jc w:val="left"/>
        <w:textAlignment w:val="auto"/>
        <w:outlineLvl w:val="9"/>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2.专项资金绩效目标完成情况自评表</w:t>
      </w:r>
    </w:p>
    <w:p w14:paraId="23391C95">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26FE924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16" w:name="_Toc17674"/>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16"/>
    </w:p>
    <w:p w14:paraId="72BBA074">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774"/>
        <w:gridCol w:w="2810"/>
        <w:gridCol w:w="973"/>
      </w:tblGrid>
      <w:tr w14:paraId="14F7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exact"/>
          <w:jc w:val="center"/>
        </w:trPr>
        <w:tc>
          <w:tcPr>
            <w:tcW w:w="1101" w:type="dxa"/>
            <w:vAlign w:val="center"/>
          </w:tcPr>
          <w:p w14:paraId="471DF6C1">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774" w:type="dxa"/>
            <w:vAlign w:val="center"/>
          </w:tcPr>
          <w:p w14:paraId="6793906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10" w:type="dxa"/>
            <w:vAlign w:val="center"/>
          </w:tcPr>
          <w:p w14:paraId="60D5B393">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73" w:type="dxa"/>
            <w:vAlign w:val="center"/>
          </w:tcPr>
          <w:p w14:paraId="55C13ABD">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434D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exact"/>
          <w:jc w:val="center"/>
        </w:trPr>
        <w:tc>
          <w:tcPr>
            <w:tcW w:w="1101" w:type="dxa"/>
            <w:vAlign w:val="center"/>
          </w:tcPr>
          <w:p w14:paraId="101E9021">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774" w:type="dxa"/>
            <w:vAlign w:val="center"/>
          </w:tcPr>
          <w:p w14:paraId="7488973F">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遂宁市职业技术学校</w:t>
            </w:r>
          </w:p>
        </w:tc>
        <w:tc>
          <w:tcPr>
            <w:tcW w:w="2810" w:type="dxa"/>
            <w:vAlign w:val="center"/>
          </w:tcPr>
          <w:p w14:paraId="0E6A153E">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93</w:t>
            </w:r>
          </w:p>
        </w:tc>
        <w:tc>
          <w:tcPr>
            <w:tcW w:w="973" w:type="dxa"/>
            <w:vAlign w:val="center"/>
          </w:tcPr>
          <w:p w14:paraId="318DD528">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14CB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1101" w:type="dxa"/>
            <w:vAlign w:val="center"/>
          </w:tcPr>
          <w:p w14:paraId="7B03F76C">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774" w:type="dxa"/>
            <w:vAlign w:val="center"/>
          </w:tcPr>
          <w:p w14:paraId="234E2EBB">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2810" w:type="dxa"/>
            <w:vAlign w:val="center"/>
          </w:tcPr>
          <w:p w14:paraId="4B8D438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973" w:type="dxa"/>
            <w:vAlign w:val="center"/>
          </w:tcPr>
          <w:p w14:paraId="15A6EF5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25EB85B4">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577D4180">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16396CBD">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612ED37A">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1A26FD85">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2C96F671">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3053307A">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2182205F">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17E63ACC">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6ABC9A98">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2AAF358E">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478766EA">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2A837711">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128493B8">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3A9C25DC">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1F50E56D">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7C8D3216">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rPr>
          <w:rFonts w:hint="default" w:ascii="Times New Roman" w:hAnsi="Times New Roman" w:eastAsia="黑体" w:cs="Times New Roman"/>
          <w:kern w:val="2"/>
          <w:sz w:val="32"/>
          <w:szCs w:val="24"/>
          <w:highlight w:val="none"/>
          <w:lang w:val="en-US" w:eastAsia="zh-CN" w:bidi="ar-SA"/>
        </w:rPr>
      </w:pPr>
    </w:p>
    <w:p w14:paraId="215F18F2">
      <w:pPr>
        <w:pStyle w:val="14"/>
        <w:keepNext w:val="0"/>
        <w:keepLines w:val="0"/>
        <w:pageBreakBefore w:val="0"/>
        <w:kinsoku/>
        <w:wordWrap/>
        <w:overflowPunct/>
        <w:topLinePunct w:val="0"/>
        <w:autoSpaceDE/>
        <w:autoSpaceDN/>
        <w:bidi w:val="0"/>
        <w:snapToGrid w:val="0"/>
        <w:spacing w:after="0" w:line="360" w:lineRule="auto"/>
        <w:ind w:left="0" w:leftChars="0" w:firstLine="0" w:firstLineChars="0"/>
        <w:outlineLvl w:val="1"/>
        <w:rPr>
          <w:rFonts w:hint="default" w:ascii="Times New Roman" w:hAnsi="Times New Roman" w:eastAsia="黑体" w:cs="Times New Roman"/>
          <w:kern w:val="2"/>
          <w:sz w:val="32"/>
          <w:szCs w:val="24"/>
          <w:highlight w:val="none"/>
          <w:lang w:val="en-US" w:eastAsia="zh-CN" w:bidi="ar-SA"/>
        </w:rPr>
      </w:pPr>
      <w:bookmarkStart w:id="117" w:name="_Toc14809"/>
      <w:r>
        <w:rPr>
          <w:rFonts w:hint="default" w:ascii="Times New Roman" w:hAnsi="Times New Roman" w:eastAsia="黑体" w:cs="Times New Roman"/>
          <w:kern w:val="2"/>
          <w:sz w:val="32"/>
          <w:szCs w:val="24"/>
          <w:highlight w:val="none"/>
          <w:lang w:val="en-US" w:eastAsia="zh-CN" w:bidi="ar-SA"/>
        </w:rPr>
        <w:t>附表2</w:t>
      </w:r>
      <w:bookmarkEnd w:id="117"/>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56"/>
        <w:gridCol w:w="1161"/>
        <w:gridCol w:w="1094"/>
        <w:gridCol w:w="1149"/>
        <w:gridCol w:w="986"/>
        <w:gridCol w:w="850"/>
        <w:gridCol w:w="929"/>
        <w:gridCol w:w="821"/>
        <w:gridCol w:w="1614"/>
      </w:tblGrid>
      <w:tr w14:paraId="74EF2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1" w:hRule="atLeast"/>
          <w:jc w:val="center"/>
        </w:trPr>
        <w:tc>
          <w:tcPr>
            <w:tcW w:w="8960" w:type="dxa"/>
            <w:gridSpan w:val="9"/>
            <w:shd w:val="clear" w:color="auto" w:fill="auto"/>
            <w:vAlign w:val="center"/>
          </w:tcPr>
          <w:p w14:paraId="530A370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4D9CF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7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75A7F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9AC95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扶持青少年校园足球发展专项资金</w:t>
            </w:r>
          </w:p>
        </w:tc>
      </w:tr>
      <w:tr w14:paraId="4407B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7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22696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5F4707">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遂宁市职业技术学校</w:t>
            </w:r>
          </w:p>
        </w:tc>
      </w:tr>
      <w:tr w14:paraId="7593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7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15427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6F9B56">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民生保障</w:t>
            </w:r>
          </w:p>
        </w:tc>
      </w:tr>
      <w:tr w14:paraId="0A1C5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2" w:hRule="atLeast"/>
          <w:jc w:val="center"/>
        </w:trPr>
        <w:tc>
          <w:tcPr>
            <w:tcW w:w="3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8A21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84976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67988D9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07B799">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00F7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3C2E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A6B79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E8CC8A">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16463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2"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B873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24AE7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16B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1CAC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3AD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E77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46A0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A0889">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6A2BD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913968">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51E87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88F14">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239F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837868">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保障卫生岗人员工资福利</w:t>
            </w:r>
          </w:p>
        </w:tc>
      </w:tr>
      <w:tr w14:paraId="2FD75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2A13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EF6D4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1713F8">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学校</w:t>
            </w:r>
          </w:p>
        </w:tc>
      </w:tr>
      <w:tr w14:paraId="52C9A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D077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BD5EA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9ABF7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7C751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15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ADE3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6B22C27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0D6E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37390C">
            <w:pPr>
              <w:keepNext w:val="0"/>
              <w:keepLines w:val="0"/>
              <w:pageBreakBefore w:val="0"/>
              <w:tabs>
                <w:tab w:val="left" w:pos="1646"/>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5.36</w:t>
            </w:r>
          </w:p>
        </w:tc>
      </w:tr>
      <w:tr w14:paraId="1E3C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15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56D2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E3F37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BF82F4">
            <w:pPr>
              <w:keepNext w:val="0"/>
              <w:keepLines w:val="0"/>
              <w:pageBreakBefore w:val="0"/>
              <w:tabs>
                <w:tab w:val="left" w:pos="1728"/>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5.36</w:t>
            </w:r>
          </w:p>
        </w:tc>
      </w:tr>
      <w:tr w14:paraId="18CCB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15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B872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2365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3E56B0">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6477B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927B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60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CDA29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5B0CD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2" w:hRule="atLeast"/>
          <w:jc w:val="center"/>
        </w:trPr>
        <w:tc>
          <w:tcPr>
            <w:tcW w:w="3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7664">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60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12B8E7">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改善学校办学条件，促进学生体质健康水平提升</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lang w:val="en-US" w:eastAsia="zh-CN"/>
              </w:rPr>
              <w:t>提升办学环境。</w:t>
            </w:r>
          </w:p>
        </w:tc>
      </w:tr>
      <w:tr w14:paraId="2D38C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9CEF2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14:paraId="0277A96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14:paraId="5226959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14:paraId="05DB9BE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86" w:type="dxa"/>
            <w:tcBorders>
              <w:top w:val="single" w:color="000000" w:sz="4" w:space="0"/>
              <w:left w:val="single" w:color="auto" w:sz="4" w:space="0"/>
              <w:bottom w:val="single" w:color="000000" w:sz="4" w:space="0"/>
              <w:right w:val="single" w:color="000000" w:sz="4" w:space="0"/>
            </w:tcBorders>
            <w:shd w:val="clear" w:color="auto" w:fill="auto"/>
            <w:vAlign w:val="center"/>
          </w:tcPr>
          <w:p w14:paraId="6625B87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E35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EED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E4D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1DB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797EE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E8BEE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4B6EA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5BC71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14:paraId="29A9542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人数</w:t>
            </w:r>
          </w:p>
        </w:tc>
        <w:tc>
          <w:tcPr>
            <w:tcW w:w="986" w:type="dxa"/>
            <w:tcBorders>
              <w:top w:val="single" w:color="000000" w:sz="4" w:space="0"/>
              <w:left w:val="single" w:color="auto" w:sz="4" w:space="0"/>
              <w:bottom w:val="single" w:color="000000" w:sz="4" w:space="0"/>
              <w:right w:val="single" w:color="000000" w:sz="4" w:space="0"/>
            </w:tcBorders>
            <w:shd w:val="clear" w:color="auto" w:fill="auto"/>
            <w:vAlign w:val="center"/>
          </w:tcPr>
          <w:p w14:paraId="5C793B38">
            <w:pPr>
              <w:keepNext w:val="0"/>
              <w:keepLines w:val="0"/>
              <w:pageBreakBefore w:val="0"/>
              <w:kinsoku/>
              <w:wordWrap/>
              <w:overflowPunct/>
              <w:topLinePunct w:val="0"/>
              <w:autoSpaceDE/>
              <w:autoSpaceDN/>
              <w:bidi w:val="0"/>
              <w:adjustRightInd/>
              <w:snapToGrid w:val="0"/>
              <w:spacing w:line="360" w:lineRule="auto"/>
              <w:ind w:left="0" w:leftChars="0"/>
              <w:jc w:val="both"/>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 xml:space="preserve">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5F87">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2</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E0C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224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CFDF">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2</w:t>
            </w:r>
          </w:p>
        </w:tc>
      </w:tr>
      <w:tr w14:paraId="6DF44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jc w:val="center"/>
        </w:trPr>
        <w:tc>
          <w:tcPr>
            <w:tcW w:w="3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D7D4B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46A13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F0A7C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14:paraId="5E24A40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86" w:type="dxa"/>
            <w:tcBorders>
              <w:top w:val="single" w:color="000000" w:sz="4" w:space="0"/>
              <w:left w:val="single" w:color="auto" w:sz="4" w:space="0"/>
              <w:bottom w:val="single" w:color="000000" w:sz="4" w:space="0"/>
              <w:right w:val="single" w:color="000000" w:sz="4" w:space="0"/>
            </w:tcBorders>
            <w:shd w:val="clear" w:color="auto" w:fill="auto"/>
            <w:vAlign w:val="center"/>
          </w:tcPr>
          <w:p w14:paraId="4A75AC9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E3E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B1B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17A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37C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25CBA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43" w:hRule="atLeast"/>
          <w:jc w:val="center"/>
        </w:trPr>
        <w:tc>
          <w:tcPr>
            <w:tcW w:w="3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17E5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54BA0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14:paraId="3F54E6B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14:paraId="7159A5F8">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具备岗位所需专业、技能和其他条件</w:t>
            </w:r>
          </w:p>
        </w:tc>
        <w:tc>
          <w:tcPr>
            <w:tcW w:w="986" w:type="dxa"/>
            <w:tcBorders>
              <w:top w:val="single" w:color="000000" w:sz="4" w:space="0"/>
              <w:left w:val="single" w:color="auto" w:sz="4" w:space="0"/>
              <w:bottom w:val="single" w:color="000000" w:sz="4" w:space="0"/>
              <w:right w:val="single" w:color="000000" w:sz="4" w:space="0"/>
            </w:tcBorders>
            <w:shd w:val="clear" w:color="auto" w:fill="auto"/>
            <w:vAlign w:val="center"/>
          </w:tcPr>
          <w:p w14:paraId="060DB97A">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B8BA">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D30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C5F7">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1F6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100</w:t>
            </w:r>
          </w:p>
        </w:tc>
      </w:tr>
      <w:tr w14:paraId="0579C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42" w:hRule="atLeast"/>
          <w:jc w:val="center"/>
        </w:trPr>
        <w:tc>
          <w:tcPr>
            <w:tcW w:w="3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F45C7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DE44A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14:paraId="7A0CA23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7C09977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14:paraId="5F4BA644">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应对突发重大公共卫生事件的能力</w:t>
            </w:r>
          </w:p>
        </w:tc>
        <w:tc>
          <w:tcPr>
            <w:tcW w:w="986" w:type="dxa"/>
            <w:tcBorders>
              <w:top w:val="single" w:color="000000" w:sz="4" w:space="0"/>
              <w:left w:val="single" w:color="auto" w:sz="4" w:space="0"/>
              <w:bottom w:val="single" w:color="000000" w:sz="4" w:space="0"/>
              <w:right w:val="single" w:color="000000" w:sz="4" w:space="0"/>
            </w:tcBorders>
            <w:shd w:val="clear" w:color="auto" w:fill="auto"/>
            <w:vAlign w:val="center"/>
          </w:tcPr>
          <w:p w14:paraId="67A541C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定性</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E94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持续提升</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03C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11FA">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74F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持续提升</w:t>
            </w:r>
          </w:p>
        </w:tc>
      </w:tr>
      <w:tr w14:paraId="2BE8C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52" w:hRule="atLeast"/>
          <w:jc w:val="center"/>
        </w:trPr>
        <w:tc>
          <w:tcPr>
            <w:tcW w:w="3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2B1E0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14:paraId="4298BE1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4821B3B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14:paraId="41BAC9C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41F602B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14:paraId="783D6ED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学生及家长</w:t>
            </w:r>
          </w:p>
        </w:tc>
        <w:tc>
          <w:tcPr>
            <w:tcW w:w="986" w:type="dxa"/>
            <w:tcBorders>
              <w:top w:val="single" w:color="000000" w:sz="4" w:space="0"/>
              <w:left w:val="single" w:color="auto" w:sz="4" w:space="0"/>
              <w:bottom w:val="single" w:color="000000" w:sz="4" w:space="0"/>
              <w:right w:val="single" w:color="000000" w:sz="4" w:space="0"/>
            </w:tcBorders>
            <w:shd w:val="clear" w:color="auto" w:fill="auto"/>
            <w:vAlign w:val="center"/>
          </w:tcPr>
          <w:p w14:paraId="71B948F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EA8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1FD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B0A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2"/>
                <w:sz w:val="24"/>
                <w:szCs w:val="24"/>
                <w:u w:val="none"/>
                <w:lang w:val="en-US" w:eastAsia="zh-CN" w:bidi="ar-SA"/>
              </w:rPr>
              <w:t>10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607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95</w:t>
            </w:r>
          </w:p>
        </w:tc>
      </w:tr>
    </w:tbl>
    <w:p w14:paraId="0AE6FDD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C928C6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CA08ED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56E97A2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835CE56">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3480A2F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833029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A911145">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11F5A42F">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338C57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CBECDE6">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8D9CB6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26F83DE">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274A2F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365098A0">
      <w:pPr>
        <w:pageBreakBefore w:val="0"/>
        <w:kinsoku/>
        <w:wordWrap/>
        <w:overflowPunct/>
        <w:topLinePunct w:val="0"/>
        <w:autoSpaceDE/>
        <w:autoSpaceDN/>
        <w:bidi w:val="0"/>
        <w:snapToGrid w:val="0"/>
        <w:spacing w:line="360" w:lineRule="auto"/>
        <w:jc w:val="both"/>
        <w:outlineLvl w:val="0"/>
        <w:rPr>
          <w:rFonts w:hint="eastAsia" w:ascii="黑体" w:hAnsi="黑体" w:eastAsia="黑体" w:cs="黑体"/>
          <w:b w:val="0"/>
          <w:bCs w:val="0"/>
          <w:spacing w:val="-20"/>
          <w:position w:val="0"/>
          <w:sz w:val="32"/>
          <w:szCs w:val="32"/>
          <w:lang w:val="en-US" w:eastAsia="zh-CN"/>
        </w:rPr>
      </w:pPr>
      <w:bookmarkStart w:id="118" w:name="_Toc5147"/>
      <w:r>
        <w:rPr>
          <w:rFonts w:hint="eastAsia" w:ascii="黑体" w:hAnsi="黑体" w:eastAsia="黑体" w:cs="黑体"/>
          <w:b w:val="0"/>
          <w:bCs w:val="0"/>
          <w:spacing w:val="-20"/>
          <w:position w:val="0"/>
          <w:sz w:val="32"/>
          <w:szCs w:val="32"/>
        </w:rPr>
        <w:t>附件</w:t>
      </w:r>
      <w:r>
        <w:rPr>
          <w:rFonts w:hint="eastAsia" w:ascii="黑体" w:hAnsi="黑体" w:eastAsia="黑体" w:cs="黑体"/>
          <w:b w:val="0"/>
          <w:bCs w:val="0"/>
          <w:spacing w:val="-20"/>
          <w:position w:val="0"/>
          <w:sz w:val="32"/>
          <w:szCs w:val="32"/>
          <w:lang w:val="en-US" w:eastAsia="zh-CN"/>
        </w:rPr>
        <w:t>6</w:t>
      </w:r>
      <w:bookmarkEnd w:id="118"/>
    </w:p>
    <w:p w14:paraId="5D44CA6B">
      <w:pPr>
        <w:pStyle w:val="2"/>
        <w:rPr>
          <w:rFonts w:hint="eastAsia"/>
          <w:lang w:val="en-US" w:eastAsia="zh-CN"/>
        </w:rPr>
      </w:pPr>
    </w:p>
    <w:p w14:paraId="0E3CA5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第一批川渝青年人才培养计划资金</w:t>
      </w:r>
    </w:p>
    <w:p w14:paraId="60BFD7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5D0D8361">
      <w:pPr>
        <w:pageBreakBefore w:val="0"/>
        <w:numPr>
          <w:ilvl w:val="0"/>
          <w:numId w:val="0"/>
        </w:numPr>
        <w:kinsoku/>
        <w:wordWrap/>
        <w:overflowPunct/>
        <w:topLinePunct w:val="0"/>
        <w:autoSpaceDE/>
        <w:autoSpaceDN/>
        <w:bidi w:val="0"/>
        <w:adjustRightInd w:val="0"/>
        <w:snapToGrid w:val="0"/>
        <w:spacing w:line="360" w:lineRule="auto"/>
        <w:rPr>
          <w:rFonts w:hint="eastAsia" w:ascii="Times New Roman" w:hAnsi="Times New Roman" w:eastAsia="黑体" w:cs="Times New Roman"/>
          <w:sz w:val="32"/>
          <w:lang w:val="zh-CN"/>
        </w:rPr>
      </w:pPr>
    </w:p>
    <w:p w14:paraId="5E072818">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3EE1186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51FB89E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第一批川渝青年人才培养计划资金是为社会培养青年干部</w:t>
      </w:r>
      <w:r>
        <w:rPr>
          <w:rFonts w:hint="eastAsia" w:ascii="仿宋_GB2312" w:hAnsi="仿宋_GB2312" w:eastAsia="仿宋_GB2312" w:cs="仿宋_GB2312"/>
          <w:spacing w:val="0"/>
          <w:sz w:val="32"/>
          <w:szCs w:val="32"/>
          <w:lang w:val="zh-CN" w:eastAsia="zh-CN"/>
        </w:rPr>
        <w:t>由</w:t>
      </w:r>
      <w:r>
        <w:rPr>
          <w:rFonts w:hint="eastAsia" w:ascii="仿宋_GB2312" w:hAnsi="仿宋_GB2312" w:eastAsia="仿宋_GB2312" w:cs="仿宋_GB2312"/>
          <w:spacing w:val="0"/>
          <w:sz w:val="32"/>
          <w:szCs w:val="32"/>
          <w:lang w:val="en-US" w:eastAsia="zh-CN"/>
        </w:rPr>
        <w:t>财政拨款2.00万元。</w:t>
      </w:r>
      <w:r>
        <w:rPr>
          <w:rFonts w:hint="eastAsia" w:ascii="仿宋_GB2312" w:hAnsi="仿宋_GB2312" w:eastAsia="仿宋_GB2312" w:cs="仿宋_GB2312"/>
          <w:spacing w:val="0"/>
          <w:sz w:val="32"/>
          <w:szCs w:val="32"/>
          <w:lang w:val="zh-CN" w:eastAsia="zh-CN"/>
        </w:rPr>
        <w:t>主要用于</w:t>
      </w:r>
      <w:r>
        <w:rPr>
          <w:rFonts w:hint="eastAsia" w:ascii="仿宋_GB2312" w:hAnsi="仿宋_GB2312" w:eastAsia="仿宋_GB2312" w:cs="仿宋_GB2312"/>
          <w:spacing w:val="0"/>
          <w:sz w:val="32"/>
          <w:szCs w:val="32"/>
          <w:lang w:val="en-US" w:eastAsia="zh-CN"/>
        </w:rPr>
        <w:t>培养青年人才</w:t>
      </w:r>
      <w:r>
        <w:rPr>
          <w:rFonts w:hint="eastAsia" w:ascii="仿宋_GB2312" w:hAnsi="仿宋_GB2312" w:eastAsia="仿宋_GB2312" w:cs="仿宋_GB2312"/>
          <w:spacing w:val="0"/>
          <w:sz w:val="32"/>
          <w:szCs w:val="32"/>
          <w:lang w:val="zh-CN" w:eastAsia="zh-CN"/>
        </w:rPr>
        <w:t>。</w:t>
      </w:r>
    </w:p>
    <w:p w14:paraId="2E99782D">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实施目的及支持方向</w:t>
      </w:r>
    </w:p>
    <w:p w14:paraId="09225E0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资金用于培养青年人才。</w:t>
      </w:r>
    </w:p>
    <w:p w14:paraId="2F19F5D9">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Chars="0" w:firstLine="643" w:firstLineChars="200"/>
        <w:jc w:val="left"/>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 xml:space="preserve">预算安排及分配管理                 </w:t>
      </w:r>
    </w:p>
    <w:p w14:paraId="3B2B82F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按照财政局下达指标结合实际，按照程序申报，目标合理可行。</w:t>
      </w:r>
      <w:r>
        <w:rPr>
          <w:rFonts w:hint="eastAsia" w:ascii="仿宋_GB2312" w:hAnsi="仿宋_GB2312" w:eastAsia="仿宋_GB2312" w:cs="仿宋_GB2312"/>
          <w:spacing w:val="0"/>
          <w:sz w:val="32"/>
          <w:szCs w:val="32"/>
          <w:lang w:val="en-US" w:eastAsia="zh-CN"/>
        </w:rPr>
        <w:t>资金</w:t>
      </w:r>
      <w:r>
        <w:rPr>
          <w:rFonts w:hint="eastAsia" w:ascii="仿宋_GB2312" w:hAnsi="仿宋_GB2312" w:eastAsia="仿宋_GB2312" w:cs="仿宋_GB2312"/>
          <w:spacing w:val="0"/>
          <w:sz w:val="32"/>
          <w:szCs w:val="32"/>
          <w:lang w:val="zh-CN" w:eastAsia="zh-CN"/>
        </w:rPr>
        <w:t>及时完成发放。</w:t>
      </w:r>
    </w:p>
    <w:p w14:paraId="494A6E32">
      <w:pPr>
        <w:keepNext w:val="0"/>
        <w:keepLines w:val="0"/>
        <w:pageBreakBefore w:val="0"/>
        <w:widowControl/>
        <w:numPr>
          <w:ilvl w:val="0"/>
          <w:numId w:val="16"/>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732F4D0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4BBA1934">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7F006EFB">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74C6EF3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通过项目绩效自评，促进</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w:t>
      </w:r>
      <w:r>
        <w:rPr>
          <w:rFonts w:hint="eastAsia" w:ascii="仿宋_GB2312" w:hAnsi="仿宋_GB2312" w:eastAsia="仿宋_GB2312" w:cs="仿宋_GB2312"/>
          <w:spacing w:val="0"/>
          <w:sz w:val="32"/>
          <w:szCs w:val="32"/>
          <w:lang w:val="zh-CN" w:eastAsia="zh-CN"/>
        </w:rPr>
        <w:t>发展。</w:t>
      </w:r>
    </w:p>
    <w:p w14:paraId="391E2EB3">
      <w:pPr>
        <w:keepNext w:val="0"/>
        <w:keepLines w:val="0"/>
        <w:pageBreakBefore w:val="0"/>
        <w:widowControl w:val="0"/>
        <w:numPr>
          <w:ilvl w:val="0"/>
          <w:numId w:val="17"/>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预设问题及评价重点</w:t>
      </w:r>
    </w:p>
    <w:p w14:paraId="052A058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照绩效评价指标体系，对资金支出使用全过程及其实施效果进行综合评价和判断。</w:t>
      </w:r>
    </w:p>
    <w:p w14:paraId="415EA4DD">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评价选点</w:t>
      </w:r>
    </w:p>
    <w:p w14:paraId="67EDBB8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抽取检查培养青年人才培训合格率。</w:t>
      </w:r>
    </w:p>
    <w:p w14:paraId="609A46B8">
      <w:pPr>
        <w:keepNext w:val="0"/>
        <w:keepLines w:val="0"/>
        <w:pageBreakBefore w:val="0"/>
        <w:widowControl w:val="0"/>
        <w:numPr>
          <w:ilvl w:val="0"/>
          <w:numId w:val="17"/>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评价方法</w:t>
      </w:r>
    </w:p>
    <w:p w14:paraId="279F973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7020591A">
      <w:pPr>
        <w:keepNext w:val="0"/>
        <w:keepLines w:val="0"/>
        <w:pageBreakBefore w:val="0"/>
        <w:widowControl w:val="0"/>
        <w:numPr>
          <w:ilvl w:val="0"/>
          <w:numId w:val="17"/>
        </w:numPr>
        <w:kinsoku/>
        <w:wordWrap/>
        <w:overflowPunct/>
        <w:topLinePunct w:val="0"/>
        <w:autoSpaceDE/>
        <w:autoSpaceDN/>
        <w:bidi w:val="0"/>
        <w:adjustRightInd/>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评价组织</w:t>
      </w:r>
    </w:p>
    <w:p w14:paraId="1E25B1C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66E6873E">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三、绩效分析</w:t>
      </w:r>
      <w:r>
        <w:rPr>
          <w:rFonts w:hint="eastAsia" w:ascii="Times New Roman" w:hAnsi="Times New Roman" w:eastAsia="黑体" w:cs="Times New Roman"/>
          <w:sz w:val="32"/>
          <w:lang w:val="zh-CN" w:eastAsia="zh-CN"/>
        </w:rPr>
        <w:tab/>
      </w:r>
    </w:p>
    <w:p w14:paraId="15C9CA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2C41E7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p>
    <w:p w14:paraId="1222E52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 xml:space="preserve">1. </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4962AB5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 xml:space="preserve">2. </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6A0344A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 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4E5E6F5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4. 项目结果。围绕</w:t>
      </w:r>
      <w:r>
        <w:rPr>
          <w:rFonts w:hint="eastAsia" w:ascii="仿宋_GB2312" w:hAnsi="仿宋_GB2312" w:eastAsia="仿宋_GB2312" w:cs="仿宋_GB2312"/>
          <w:spacing w:val="0"/>
          <w:sz w:val="32"/>
          <w:szCs w:val="32"/>
          <w:lang w:val="zh-CN" w:eastAsia="zh-CN"/>
        </w:rPr>
        <w:t>目标完成、完成时效进行绩效分析。</w:t>
      </w:r>
    </w:p>
    <w:p w14:paraId="1C494863">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p>
    <w:p w14:paraId="0C0D4AE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项目资金合理分配到校、对象精准、分配标准合理，为学校培养青年干部</w:t>
      </w:r>
      <w:r>
        <w:rPr>
          <w:rFonts w:hint="eastAsia" w:ascii="仿宋_GB2312" w:hAnsi="仿宋_GB2312" w:eastAsia="仿宋_GB2312" w:cs="仿宋_GB2312"/>
          <w:spacing w:val="0"/>
          <w:sz w:val="32"/>
          <w:szCs w:val="32"/>
          <w:lang w:val="zh-CN" w:eastAsia="zh-CN"/>
        </w:rPr>
        <w:t>。</w:t>
      </w:r>
    </w:p>
    <w:p w14:paraId="49F51D5D">
      <w:pPr>
        <w:keepNext w:val="0"/>
        <w:keepLines w:val="0"/>
        <w:pageBreakBefore w:val="0"/>
        <w:widowControl w:val="0"/>
        <w:numPr>
          <w:ilvl w:val="0"/>
          <w:numId w:val="18"/>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p>
    <w:p w14:paraId="6096EAA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青年干部培训合格率100%</w:t>
      </w:r>
      <w:r>
        <w:rPr>
          <w:rFonts w:hint="eastAsia" w:ascii="仿宋_GB2312" w:hAnsi="仿宋_GB2312" w:eastAsia="仿宋_GB2312" w:cs="仿宋_GB2312"/>
          <w:spacing w:val="0"/>
          <w:sz w:val="32"/>
          <w:szCs w:val="32"/>
          <w:lang w:val="zh-CN" w:eastAsia="zh-CN"/>
        </w:rPr>
        <w:t>。</w:t>
      </w:r>
    </w:p>
    <w:p w14:paraId="75BB5E4D">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四、评价结论</w:t>
      </w:r>
    </w:p>
    <w:p w14:paraId="4442323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绩效总体得分95分，</w:t>
      </w:r>
      <w:r>
        <w:rPr>
          <w:rFonts w:hint="eastAsia" w:ascii="仿宋_GB2312" w:hAnsi="仿宋_GB2312" w:eastAsia="仿宋_GB2312" w:cs="仿宋_GB2312"/>
          <w:spacing w:val="0"/>
          <w:sz w:val="32"/>
          <w:szCs w:val="32"/>
          <w:lang w:val="zh-CN" w:eastAsia="zh-CN"/>
        </w:rPr>
        <w:t>实施达到了预期的社会效益，</w:t>
      </w:r>
      <w:r>
        <w:rPr>
          <w:rFonts w:hint="eastAsia" w:ascii="仿宋_GB2312" w:hAnsi="仿宋_GB2312" w:eastAsia="仿宋_GB2312" w:cs="仿宋_GB2312"/>
          <w:spacing w:val="0"/>
          <w:sz w:val="32"/>
          <w:szCs w:val="32"/>
          <w:lang w:val="en-US" w:eastAsia="zh-CN"/>
        </w:rPr>
        <w:t>青年人才</w:t>
      </w:r>
      <w:r>
        <w:rPr>
          <w:rFonts w:hint="eastAsia" w:ascii="仿宋_GB2312" w:hAnsi="仿宋_GB2312" w:eastAsia="仿宋_GB2312" w:cs="仿宋_GB2312"/>
          <w:spacing w:val="0"/>
          <w:sz w:val="32"/>
          <w:szCs w:val="32"/>
          <w:lang w:val="zh-CN" w:eastAsia="zh-CN"/>
        </w:rPr>
        <w:t>满意度较好。</w:t>
      </w:r>
    </w:p>
    <w:p w14:paraId="40E3086D">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eastAsia="zh-CN"/>
        </w:rPr>
      </w:pPr>
      <w:r>
        <w:rPr>
          <w:rFonts w:hint="eastAsia" w:ascii="Times New Roman" w:hAnsi="Times New Roman" w:eastAsia="黑体" w:cs="Times New Roman"/>
          <w:sz w:val="32"/>
          <w:lang w:val="zh-CN" w:eastAsia="zh-CN"/>
        </w:rPr>
        <w:t>五、存在主要问题</w:t>
      </w:r>
    </w:p>
    <w:p w14:paraId="5D0BC71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16F0530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六、改进建议</w:t>
      </w:r>
    </w:p>
    <w:p w14:paraId="3DDA4954">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en"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16B9E9FE">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p>
    <w:p w14:paraId="1F2A0D6C">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附表：1.项目资金分配涉及所有点位自评得分情况表</w:t>
      </w:r>
    </w:p>
    <w:p w14:paraId="416B93F0">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2.专项资金绩效目标完成情况自评表</w:t>
      </w:r>
    </w:p>
    <w:p w14:paraId="7BCA603B">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br w:type="page"/>
      </w:r>
    </w:p>
    <w:p w14:paraId="2EB6E11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19" w:name="_Toc20342"/>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19"/>
    </w:p>
    <w:p w14:paraId="2BB4C3D3">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834"/>
        <w:gridCol w:w="2854"/>
        <w:gridCol w:w="990"/>
      </w:tblGrid>
      <w:tr w14:paraId="269E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jc w:val="center"/>
        </w:trPr>
        <w:tc>
          <w:tcPr>
            <w:tcW w:w="1120" w:type="dxa"/>
            <w:vAlign w:val="top"/>
          </w:tcPr>
          <w:p w14:paraId="10EE7AF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34" w:type="dxa"/>
            <w:vAlign w:val="top"/>
          </w:tcPr>
          <w:p w14:paraId="33F7A04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54" w:type="dxa"/>
            <w:vAlign w:val="top"/>
          </w:tcPr>
          <w:p w14:paraId="24E4E719">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0" w:type="dxa"/>
            <w:vAlign w:val="top"/>
          </w:tcPr>
          <w:p w14:paraId="070CE6D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1756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jc w:val="center"/>
        </w:trPr>
        <w:tc>
          <w:tcPr>
            <w:tcW w:w="1120" w:type="dxa"/>
            <w:vAlign w:val="top"/>
          </w:tcPr>
          <w:p w14:paraId="1206FBEA">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34" w:type="dxa"/>
            <w:vAlign w:val="top"/>
          </w:tcPr>
          <w:p w14:paraId="330FC1C1">
            <w:pPr>
              <w:keepNext w:val="0"/>
              <w:keepLines w:val="0"/>
              <w:pageBreakBefore w:val="0"/>
              <w:widowControl w:val="0"/>
              <w:kinsoku/>
              <w:wordWrap/>
              <w:overflowPunct/>
              <w:topLinePunct w:val="0"/>
              <w:autoSpaceDE/>
              <w:autoSpaceDN/>
              <w:bidi w:val="0"/>
              <w:adjustRightInd/>
              <w:snapToGrid w:val="0"/>
              <w:spacing w:line="360" w:lineRule="auto"/>
              <w:ind w:left="0" w:leftChars="0"/>
              <w:jc w:val="both"/>
              <w:textAlignment w:val="auto"/>
              <w:outlineLvl w:val="9"/>
              <w:rPr>
                <w:rFonts w:hint="eastAsia" w:ascii="宋体" w:hAnsi="宋体" w:cs="宋体"/>
                <w:color w:val="auto"/>
                <w:sz w:val="24"/>
                <w:szCs w:val="24"/>
                <w:highlight w:val="none"/>
                <w:u w:val="none"/>
                <w:vertAlign w:val="baseline"/>
                <w:lang w:val="en" w:eastAsia="zh-CN"/>
              </w:rPr>
            </w:pPr>
            <w:r>
              <w:rPr>
                <w:rFonts w:hint="eastAsia" w:ascii="宋体" w:hAnsi="宋体" w:cs="宋体"/>
                <w:color w:val="auto"/>
                <w:sz w:val="24"/>
                <w:szCs w:val="24"/>
                <w:highlight w:val="none"/>
                <w:u w:val="none"/>
                <w:vertAlign w:val="baseline"/>
                <w:lang w:val="en" w:eastAsia="zh-CN"/>
              </w:rPr>
              <w:t>遂宁市</w:t>
            </w:r>
            <w:r>
              <w:rPr>
                <w:rFonts w:hint="eastAsia" w:ascii="宋体" w:hAnsi="宋体" w:cs="宋体"/>
                <w:color w:val="auto"/>
                <w:sz w:val="24"/>
                <w:szCs w:val="24"/>
                <w:highlight w:val="none"/>
                <w:u w:val="none"/>
                <w:vertAlign w:val="baseline"/>
                <w:lang w:val="en-US" w:eastAsia="zh-CN"/>
              </w:rPr>
              <w:t>职业技术</w:t>
            </w:r>
            <w:r>
              <w:rPr>
                <w:rFonts w:hint="eastAsia" w:ascii="宋体" w:hAnsi="宋体" w:cs="宋体"/>
                <w:color w:val="auto"/>
                <w:sz w:val="24"/>
                <w:szCs w:val="24"/>
                <w:highlight w:val="none"/>
                <w:u w:val="none"/>
                <w:vertAlign w:val="baseline"/>
                <w:lang w:val="en" w:eastAsia="zh-CN"/>
              </w:rPr>
              <w:t>学校</w:t>
            </w:r>
          </w:p>
        </w:tc>
        <w:tc>
          <w:tcPr>
            <w:tcW w:w="2854" w:type="dxa"/>
            <w:vAlign w:val="top"/>
          </w:tcPr>
          <w:p w14:paraId="139A406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95</w:t>
            </w:r>
          </w:p>
          <w:p w14:paraId="6B6D0C54">
            <w:pPr>
              <w:pStyle w:val="26"/>
              <w:pageBreakBefore w:val="0"/>
              <w:kinsoku/>
              <w:wordWrap/>
              <w:overflowPunct/>
              <w:topLinePunct w:val="0"/>
              <w:autoSpaceDE/>
              <w:autoSpaceDN/>
              <w:bidi w:val="0"/>
              <w:snapToGrid w:val="0"/>
              <w:spacing w:line="360" w:lineRule="auto"/>
              <w:rPr>
                <w:rFonts w:hint="default"/>
                <w:lang w:val="en-US" w:eastAsia="zh-CN"/>
              </w:rPr>
            </w:pPr>
          </w:p>
        </w:tc>
        <w:tc>
          <w:tcPr>
            <w:tcW w:w="990" w:type="dxa"/>
            <w:vAlign w:val="top"/>
          </w:tcPr>
          <w:p w14:paraId="237858CB">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201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jc w:val="center"/>
        </w:trPr>
        <w:tc>
          <w:tcPr>
            <w:tcW w:w="1120" w:type="dxa"/>
            <w:vAlign w:val="top"/>
          </w:tcPr>
          <w:p w14:paraId="2A720591">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34" w:type="dxa"/>
            <w:vAlign w:val="top"/>
          </w:tcPr>
          <w:p w14:paraId="22C8D2AF">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54" w:type="dxa"/>
            <w:vAlign w:val="top"/>
          </w:tcPr>
          <w:p w14:paraId="5756E1E6">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0" w:type="dxa"/>
            <w:vAlign w:val="top"/>
          </w:tcPr>
          <w:p w14:paraId="6B2D578E">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36A98339">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备注：1.项目资金末端分配点位包括县（市、区）、市级部门下属单位及一次性单位等。</w:t>
      </w:r>
    </w:p>
    <w:p w14:paraId="1EB8AEBA">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ED3CC13">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0FF2824">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23BAFC9C">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EB1BF7C">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0BD1C03">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1E80A3A">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51FC9BDC">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120CAD12">
      <w:pPr>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39A0BA2E">
      <w:pPr>
        <w:pStyle w:val="2"/>
        <w:pageBreakBefore w:val="0"/>
        <w:kinsoku/>
        <w:wordWrap/>
        <w:overflowPunct/>
        <w:topLinePunct w:val="0"/>
        <w:autoSpaceDE/>
        <w:autoSpaceDN/>
        <w:bidi w:val="0"/>
        <w:snapToGrid w:val="0"/>
        <w:spacing w:line="360" w:lineRule="auto"/>
        <w:rPr>
          <w:rFonts w:hint="eastAsia" w:ascii="仿宋_GB2312" w:hAnsi="仿宋_GB2312" w:eastAsia="仿宋_GB2312" w:cs="仿宋_GB2312"/>
          <w:spacing w:val="17"/>
          <w:sz w:val="32"/>
          <w:szCs w:val="32"/>
          <w:lang w:val="en-US" w:eastAsia="zh-CN"/>
        </w:rPr>
      </w:pPr>
    </w:p>
    <w:p w14:paraId="7AEEE67F">
      <w:pPr>
        <w:pageBreakBefore w:val="0"/>
        <w:kinsoku/>
        <w:wordWrap/>
        <w:overflowPunct/>
        <w:topLinePunct w:val="0"/>
        <w:autoSpaceDE/>
        <w:autoSpaceDN/>
        <w:bidi w:val="0"/>
        <w:snapToGrid w:val="0"/>
        <w:spacing w:line="360" w:lineRule="auto"/>
        <w:rPr>
          <w:rFonts w:hint="eastAsia"/>
          <w:lang w:val="en-US" w:eastAsia="zh-CN"/>
        </w:rPr>
      </w:pPr>
    </w:p>
    <w:p w14:paraId="680E3264">
      <w:pPr>
        <w:pStyle w:val="2"/>
        <w:pageBreakBefore w:val="0"/>
        <w:kinsoku/>
        <w:wordWrap/>
        <w:overflowPunct/>
        <w:topLinePunct w:val="0"/>
        <w:autoSpaceDE/>
        <w:autoSpaceDN/>
        <w:bidi w:val="0"/>
        <w:snapToGrid w:val="0"/>
        <w:spacing w:line="360" w:lineRule="auto"/>
        <w:rPr>
          <w:rFonts w:hint="eastAsia"/>
          <w:lang w:val="en-US" w:eastAsia="zh-CN"/>
        </w:rPr>
      </w:pPr>
    </w:p>
    <w:p w14:paraId="0F43656F">
      <w:pPr>
        <w:pageBreakBefore w:val="0"/>
        <w:kinsoku/>
        <w:wordWrap/>
        <w:overflowPunct/>
        <w:topLinePunct w:val="0"/>
        <w:autoSpaceDE/>
        <w:autoSpaceDN/>
        <w:bidi w:val="0"/>
        <w:snapToGrid w:val="0"/>
        <w:spacing w:line="360" w:lineRule="auto"/>
        <w:rPr>
          <w:rFonts w:hint="eastAsia"/>
          <w:lang w:val="en-US" w:eastAsia="zh-CN"/>
        </w:rPr>
      </w:pPr>
    </w:p>
    <w:p w14:paraId="5BB941B0">
      <w:pPr>
        <w:pStyle w:val="2"/>
        <w:pageBreakBefore w:val="0"/>
        <w:kinsoku/>
        <w:wordWrap/>
        <w:overflowPunct/>
        <w:topLinePunct w:val="0"/>
        <w:autoSpaceDE/>
        <w:autoSpaceDN/>
        <w:bidi w:val="0"/>
        <w:snapToGrid w:val="0"/>
        <w:spacing w:line="360" w:lineRule="auto"/>
        <w:rPr>
          <w:rFonts w:hint="eastAsia"/>
          <w:lang w:val="en-US" w:eastAsia="zh-CN"/>
        </w:rPr>
      </w:pPr>
    </w:p>
    <w:p w14:paraId="2F6789E7">
      <w:pPr>
        <w:pageBreakBefore w:val="0"/>
        <w:kinsoku/>
        <w:wordWrap/>
        <w:overflowPunct/>
        <w:topLinePunct w:val="0"/>
        <w:autoSpaceDE/>
        <w:autoSpaceDN/>
        <w:bidi w:val="0"/>
        <w:snapToGrid w:val="0"/>
        <w:spacing w:line="360" w:lineRule="auto"/>
        <w:rPr>
          <w:rFonts w:hint="eastAsia"/>
          <w:lang w:val="en-US" w:eastAsia="zh-CN"/>
        </w:rPr>
      </w:pPr>
    </w:p>
    <w:p w14:paraId="0F9C8D23">
      <w:pPr>
        <w:pStyle w:val="2"/>
        <w:pageBreakBefore w:val="0"/>
        <w:kinsoku/>
        <w:wordWrap/>
        <w:overflowPunct/>
        <w:topLinePunct w:val="0"/>
        <w:autoSpaceDE/>
        <w:autoSpaceDN/>
        <w:bidi w:val="0"/>
        <w:snapToGrid w:val="0"/>
        <w:spacing w:line="360" w:lineRule="auto"/>
        <w:rPr>
          <w:rFonts w:hint="eastAsia"/>
          <w:lang w:val="en-US" w:eastAsia="zh-CN"/>
        </w:rPr>
      </w:pPr>
    </w:p>
    <w:p w14:paraId="38F59A05">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120" w:name="_Toc8816"/>
      <w:r>
        <w:rPr>
          <w:rFonts w:hint="default" w:ascii="Times New Roman" w:hAnsi="Times New Roman" w:eastAsia="黑体" w:cs="Times New Roman"/>
          <w:kern w:val="2"/>
          <w:sz w:val="32"/>
          <w:szCs w:val="24"/>
          <w:highlight w:val="none"/>
          <w:lang w:val="en-US" w:eastAsia="zh-CN" w:bidi="ar-SA"/>
        </w:rPr>
        <w:t>附表2</w:t>
      </w:r>
      <w:bookmarkEnd w:id="120"/>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68"/>
        <w:gridCol w:w="942"/>
        <w:gridCol w:w="1089"/>
        <w:gridCol w:w="1144"/>
        <w:gridCol w:w="982"/>
        <w:gridCol w:w="845"/>
        <w:gridCol w:w="925"/>
        <w:gridCol w:w="817"/>
        <w:gridCol w:w="1608"/>
      </w:tblGrid>
      <w:tr w14:paraId="77CD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3" w:hRule="atLeast"/>
          <w:jc w:val="center"/>
        </w:trPr>
        <w:tc>
          <w:tcPr>
            <w:tcW w:w="8920" w:type="dxa"/>
            <w:gridSpan w:val="9"/>
            <w:shd w:val="clear" w:color="auto" w:fill="auto"/>
            <w:vAlign w:val="center"/>
          </w:tcPr>
          <w:p w14:paraId="2CE2CEB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6A00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2" w:hRule="atLeast"/>
          <w:jc w:val="center"/>
        </w:trPr>
        <w:tc>
          <w:tcPr>
            <w:tcW w:w="37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ACA827">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项目名称</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0E16E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仿宋_GB2312" w:cs="Times New Roman"/>
                <w:color w:val="auto"/>
                <w:sz w:val="32"/>
                <w:lang w:val="en-US" w:eastAsia="zh-CN"/>
              </w:rPr>
              <w:t>第一批川渝青年人才培养计划资金</w:t>
            </w:r>
          </w:p>
        </w:tc>
      </w:tr>
      <w:tr w14:paraId="6384C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37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ED6A7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87FA8D">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遂宁市</w:t>
            </w:r>
            <w:r>
              <w:rPr>
                <w:rFonts w:hint="eastAsia" w:ascii="宋体" w:hAnsi="宋体" w:eastAsia="宋体" w:cs="宋体"/>
                <w:i w:val="0"/>
                <w:color w:val="000000"/>
                <w:sz w:val="24"/>
                <w:szCs w:val="24"/>
                <w:u w:val="none"/>
                <w:lang w:val="en-US" w:eastAsia="zh-CN"/>
              </w:rPr>
              <w:t>职业技术学校</w:t>
            </w:r>
          </w:p>
        </w:tc>
      </w:tr>
      <w:tr w14:paraId="22F9F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37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2649C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6F99EF">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auto"/>
                <w:sz w:val="24"/>
                <w:szCs w:val="24"/>
                <w:u w:val="none"/>
                <w:lang w:val="en-US" w:eastAsia="zh-CN"/>
              </w:rPr>
              <w:t>民生保障</w:t>
            </w:r>
          </w:p>
        </w:tc>
      </w:tr>
      <w:tr w14:paraId="05B1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3" w:hRule="atLeast"/>
          <w:jc w:val="center"/>
        </w:trPr>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8E5E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BF731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3EA62D4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33646D">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7955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7EC0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2B82A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87F734">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1C74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3"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CE944">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1D33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029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09A7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0A8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4CF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485D3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2"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3905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A254C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CB8307">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p>
        </w:tc>
      </w:tr>
      <w:tr w14:paraId="4C2AD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C19F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C599F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64D8A3">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培养青年人才</w:t>
            </w:r>
          </w:p>
        </w:tc>
      </w:tr>
      <w:tr w14:paraId="09A42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F17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CBCE8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52B396">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职业教育学校</w:t>
            </w:r>
          </w:p>
        </w:tc>
      </w:tr>
      <w:tr w14:paraId="7A09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D2A7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7862E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D5E524">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一次性</w:t>
            </w:r>
          </w:p>
        </w:tc>
      </w:tr>
      <w:tr w14:paraId="1ACDA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15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091A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68EB5F4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6898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56A710">
            <w:pPr>
              <w:keepNext w:val="0"/>
              <w:keepLines w:val="0"/>
              <w:pageBreakBefore w:val="0"/>
              <w:tabs>
                <w:tab w:val="left" w:pos="2001"/>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2.00</w:t>
            </w:r>
          </w:p>
        </w:tc>
      </w:tr>
      <w:tr w14:paraId="549A1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2" w:hRule="atLeast"/>
          <w:jc w:val="center"/>
        </w:trPr>
        <w:tc>
          <w:tcPr>
            <w:tcW w:w="15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3A9C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ABE7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其中：财政拨款</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EFF2AF">
            <w:pPr>
              <w:keepNext w:val="0"/>
              <w:keepLines w:val="0"/>
              <w:pageBreakBefore w:val="0"/>
              <w:tabs>
                <w:tab w:val="left" w:pos="2382"/>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2.00</w:t>
            </w:r>
          </w:p>
        </w:tc>
      </w:tr>
      <w:tr w14:paraId="79CC7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6" w:hRule="atLeast"/>
          <w:jc w:val="center"/>
        </w:trPr>
        <w:tc>
          <w:tcPr>
            <w:tcW w:w="15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E8CF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DAED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1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9A4CB5">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123DC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F73AF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35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DA865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68CB2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2"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0EB0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35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018A1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培养青年人才</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lang w:val="en-US" w:eastAsia="zh-CN"/>
              </w:rPr>
              <w:t>提高职业教育质量</w:t>
            </w:r>
            <w:r>
              <w:rPr>
                <w:rFonts w:hint="eastAsia" w:ascii="宋体" w:hAnsi="宋体" w:eastAsia="宋体" w:cs="宋体"/>
                <w:i w:val="0"/>
                <w:color w:val="000000"/>
                <w:sz w:val="24"/>
                <w:szCs w:val="24"/>
                <w:u w:val="none"/>
              </w:rPr>
              <w:t>。</w:t>
            </w:r>
          </w:p>
        </w:tc>
      </w:tr>
      <w:tr w14:paraId="4E29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6"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CC6C3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69D253D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61466BF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60DAEDA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0EED7F8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8C7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0F4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97E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4DA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495E5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2"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D4B99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B912F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CD8F9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229ABE31">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培养人数</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130EF94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CEF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C64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人</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B9D6">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B2E4">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r>
      <w:tr w14:paraId="2B027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675CA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2CCFD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124E0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463045B7">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7C16043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620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AC9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26D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07D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086AE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6"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2CBC8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653B8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01AA8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5F7E015E">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培训合格率</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7884037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CD2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45A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8E1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B00A">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635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2"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32BF7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4110D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C0D8D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3B8CCCE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7167EA9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B04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734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9FC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744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5EBEF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2EAAD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1FF70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0397FB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4DECAA3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培训</w:t>
            </w:r>
            <w:r>
              <w:rPr>
                <w:rFonts w:hint="eastAsia" w:ascii="宋体" w:hAnsi="宋体" w:eastAsia="宋体" w:cs="宋体"/>
                <w:i w:val="0"/>
                <w:color w:val="000000"/>
                <w:sz w:val="24"/>
                <w:szCs w:val="24"/>
                <w:u w:val="none"/>
              </w:rPr>
              <w:t>时效</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05C2CB8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A6D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100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DA4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DB22">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CEA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100</w:t>
            </w:r>
          </w:p>
        </w:tc>
      </w:tr>
      <w:tr w14:paraId="7D1F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43"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0C4EF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4FF88CA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694762D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F4F5A6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49987DB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1B30377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满意度</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0849D34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26DF">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FD7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8548">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337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bl>
    <w:p w14:paraId="6C1A3B18">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1CB8B648">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667A42DB">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4A563072">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55DEFBE5">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5E5F6954">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3765C910">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06A3262B">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0743F28D">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1E5A8545">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6682F4EE">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38C58B26">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3A0A3839">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71778941">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7F8E018E">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59071AB0">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73316BA2">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345B8472">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5CE9902F">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2695A6E3">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378A3853">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7DEA5362">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3711E015">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22B91C97">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55223A54">
      <w:pPr>
        <w:pageBreakBefore w:val="0"/>
        <w:kinsoku/>
        <w:wordWrap/>
        <w:overflowPunct/>
        <w:topLinePunct w:val="0"/>
        <w:autoSpaceDE/>
        <w:autoSpaceDN/>
        <w:bidi w:val="0"/>
        <w:snapToGrid w:val="0"/>
        <w:spacing w:line="360" w:lineRule="auto"/>
        <w:jc w:val="both"/>
        <w:outlineLvl w:val="0"/>
        <w:rPr>
          <w:rFonts w:hint="eastAsia" w:ascii="黑体" w:hAnsi="黑体" w:eastAsia="黑体" w:cs="黑体"/>
          <w:b w:val="0"/>
          <w:bCs w:val="0"/>
          <w:sz w:val="32"/>
          <w:szCs w:val="32"/>
          <w:lang w:val="en-US" w:eastAsia="zh-CN"/>
        </w:rPr>
      </w:pPr>
      <w:bookmarkStart w:id="121" w:name="_Toc12308"/>
      <w:r>
        <w:rPr>
          <w:rFonts w:hint="eastAsia" w:ascii="黑体" w:hAnsi="黑体" w:eastAsia="黑体" w:cs="黑体"/>
          <w:b w:val="0"/>
          <w:bCs w:val="0"/>
          <w:spacing w:val="-20"/>
          <w:position w:val="0"/>
          <w:sz w:val="32"/>
          <w:szCs w:val="32"/>
        </w:rPr>
        <w:t>附件</w:t>
      </w:r>
      <w:r>
        <w:rPr>
          <w:rFonts w:hint="eastAsia" w:ascii="黑体" w:hAnsi="黑体" w:eastAsia="黑体" w:cs="黑体"/>
          <w:b w:val="0"/>
          <w:bCs w:val="0"/>
          <w:spacing w:val="-20"/>
          <w:position w:val="0"/>
          <w:sz w:val="32"/>
          <w:szCs w:val="32"/>
          <w:lang w:val="en-US" w:eastAsia="zh-CN"/>
        </w:rPr>
        <w:t>7</w:t>
      </w:r>
      <w:bookmarkEnd w:id="121"/>
    </w:p>
    <w:p w14:paraId="3DDF9F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现代职业教育质量提升计划资金</w:t>
      </w:r>
    </w:p>
    <w:p w14:paraId="574CF4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5959DC60">
      <w:pPr>
        <w:pageBreakBefore w:val="0"/>
        <w:numPr>
          <w:ilvl w:val="0"/>
          <w:numId w:val="0"/>
        </w:numPr>
        <w:kinsoku/>
        <w:wordWrap/>
        <w:overflowPunct/>
        <w:topLinePunct w:val="0"/>
        <w:autoSpaceDE/>
        <w:autoSpaceDN/>
        <w:bidi w:val="0"/>
        <w:adjustRightInd w:val="0"/>
        <w:snapToGrid w:val="0"/>
        <w:spacing w:line="360" w:lineRule="auto"/>
        <w:rPr>
          <w:rFonts w:hint="eastAsia" w:ascii="Times New Roman" w:hAnsi="Times New Roman" w:eastAsia="黑体" w:cs="Times New Roman"/>
          <w:sz w:val="32"/>
          <w:lang w:val="zh-CN"/>
        </w:rPr>
      </w:pPr>
    </w:p>
    <w:p w14:paraId="323569C0">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697187E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364946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现代职业教育质量提升计划资金</w:t>
      </w:r>
      <w:r>
        <w:rPr>
          <w:rFonts w:hint="eastAsia" w:ascii="仿宋_GB2312" w:hAnsi="仿宋_GB2312" w:eastAsia="仿宋_GB2312" w:cs="仿宋_GB2312"/>
          <w:spacing w:val="0"/>
          <w:sz w:val="32"/>
          <w:szCs w:val="32"/>
          <w:lang w:val="zh-CN" w:eastAsia="zh-CN"/>
        </w:rPr>
        <w:t>由</w:t>
      </w:r>
      <w:r>
        <w:rPr>
          <w:rFonts w:hint="eastAsia" w:ascii="仿宋_GB2312" w:hAnsi="仿宋_GB2312" w:eastAsia="仿宋_GB2312" w:cs="仿宋_GB2312"/>
          <w:spacing w:val="0"/>
          <w:sz w:val="32"/>
          <w:szCs w:val="32"/>
          <w:lang w:val="en-US" w:eastAsia="zh-CN"/>
        </w:rPr>
        <w:t>中央财政统一职业学校发展需要拨款2704.46万元。</w:t>
      </w:r>
      <w:r>
        <w:rPr>
          <w:rFonts w:hint="eastAsia" w:ascii="仿宋_GB2312" w:hAnsi="仿宋_GB2312" w:eastAsia="仿宋_GB2312" w:cs="仿宋_GB2312"/>
          <w:spacing w:val="0"/>
          <w:sz w:val="32"/>
          <w:szCs w:val="32"/>
          <w:lang w:val="zh-CN" w:eastAsia="zh-CN"/>
        </w:rPr>
        <w:t>主要用于保障</w:t>
      </w:r>
      <w:r>
        <w:rPr>
          <w:rFonts w:hint="eastAsia" w:ascii="仿宋_GB2312" w:hAnsi="仿宋_GB2312" w:eastAsia="仿宋_GB2312" w:cs="仿宋_GB2312"/>
          <w:spacing w:val="0"/>
          <w:sz w:val="32"/>
          <w:szCs w:val="32"/>
          <w:lang w:val="en-US" w:eastAsia="zh-CN"/>
        </w:rPr>
        <w:t>中职</w:t>
      </w:r>
      <w:r>
        <w:rPr>
          <w:rFonts w:hint="eastAsia" w:ascii="仿宋_GB2312" w:hAnsi="仿宋_GB2312" w:eastAsia="仿宋_GB2312" w:cs="仿宋_GB2312"/>
          <w:spacing w:val="0"/>
          <w:sz w:val="32"/>
          <w:szCs w:val="32"/>
          <w:lang w:val="zh-CN" w:eastAsia="zh-CN"/>
        </w:rPr>
        <w:t>学校</w:t>
      </w:r>
      <w:r>
        <w:rPr>
          <w:rFonts w:hint="eastAsia" w:ascii="仿宋_GB2312" w:hAnsi="仿宋_GB2312" w:eastAsia="仿宋_GB2312" w:cs="仿宋_GB2312"/>
          <w:spacing w:val="0"/>
          <w:sz w:val="32"/>
          <w:szCs w:val="32"/>
          <w:lang w:val="en-US" w:eastAsia="zh-CN"/>
        </w:rPr>
        <w:t>三名工程建设、改善办学条件、收购机电校、加强培养职业教育高素质教师等。</w:t>
      </w:r>
    </w:p>
    <w:p w14:paraId="3A9E06D0">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实施目的及支持方向</w:t>
      </w:r>
    </w:p>
    <w:p w14:paraId="158C3BD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促进职业教育高质量发展。</w:t>
      </w:r>
    </w:p>
    <w:p w14:paraId="43BCAC1A">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auto"/>
        <w:ind w:leftChars="0" w:firstLine="643" w:firstLineChars="200"/>
        <w:jc w:val="left"/>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 xml:space="preserve">预算安排及分配管理                  </w:t>
      </w:r>
    </w:p>
    <w:p w14:paraId="4B0171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按照</w:t>
      </w:r>
      <w:r>
        <w:rPr>
          <w:rFonts w:hint="eastAsia" w:ascii="仿宋_GB2312" w:hAnsi="仿宋_GB2312" w:eastAsia="仿宋_GB2312" w:cs="仿宋_GB2312"/>
          <w:spacing w:val="0"/>
          <w:sz w:val="32"/>
          <w:szCs w:val="32"/>
          <w:lang w:val="en-US" w:eastAsia="zh-CN"/>
        </w:rPr>
        <w:t>中省</w:t>
      </w:r>
      <w:r>
        <w:rPr>
          <w:rFonts w:hint="eastAsia" w:ascii="仿宋_GB2312" w:hAnsi="仿宋_GB2312" w:eastAsia="仿宋_GB2312" w:cs="仿宋_GB2312"/>
          <w:spacing w:val="0"/>
          <w:sz w:val="32"/>
          <w:szCs w:val="32"/>
          <w:lang w:val="zh-CN" w:eastAsia="zh-CN"/>
        </w:rPr>
        <w:t>财政局下达指标结合实际，按照程序申报，目标合理可行。所有项目及时分配资金，中省下达专项经费及时完成发放。</w:t>
      </w:r>
    </w:p>
    <w:p w14:paraId="17F1C1FA">
      <w:pPr>
        <w:keepNext w:val="0"/>
        <w:keepLines w:val="0"/>
        <w:pageBreakBefore w:val="0"/>
        <w:widowControl/>
        <w:numPr>
          <w:ilvl w:val="0"/>
          <w:numId w:val="19"/>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3A467F4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0C031859">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3385E07C">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0D3CF99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通过项目绩效自评，促进</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w:t>
      </w:r>
      <w:r>
        <w:rPr>
          <w:rFonts w:hint="eastAsia" w:ascii="仿宋_GB2312" w:hAnsi="仿宋_GB2312" w:eastAsia="仿宋_GB2312" w:cs="仿宋_GB2312"/>
          <w:spacing w:val="0"/>
          <w:sz w:val="32"/>
          <w:szCs w:val="32"/>
          <w:lang w:val="zh-CN" w:eastAsia="zh-CN"/>
        </w:rPr>
        <w:t>发展。</w:t>
      </w:r>
    </w:p>
    <w:p w14:paraId="3D55DE66">
      <w:pPr>
        <w:keepNext w:val="0"/>
        <w:keepLines w:val="0"/>
        <w:pageBreakBefore w:val="0"/>
        <w:widowControl w:val="0"/>
        <w:numPr>
          <w:ilvl w:val="0"/>
          <w:numId w:val="20"/>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预设问题及评价重点</w:t>
      </w:r>
    </w:p>
    <w:p w14:paraId="5A938F7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照绩效评价指标体系，对资金支出使用全过程及其实施效果进行综合评价和判断。</w:t>
      </w:r>
    </w:p>
    <w:p w14:paraId="5E59407F">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评价选点</w:t>
      </w:r>
    </w:p>
    <w:p w14:paraId="70B5B39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抽取三名工程建设进度、学校建设以及教师培训提升进度。</w:t>
      </w:r>
    </w:p>
    <w:p w14:paraId="0679C927">
      <w:pPr>
        <w:keepNext w:val="0"/>
        <w:keepLines w:val="0"/>
        <w:pageBreakBefore w:val="0"/>
        <w:widowControl w:val="0"/>
        <w:numPr>
          <w:ilvl w:val="0"/>
          <w:numId w:val="20"/>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评价方法</w:t>
      </w:r>
    </w:p>
    <w:p w14:paraId="26585E6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6891E2C7">
      <w:pPr>
        <w:keepNext w:val="0"/>
        <w:keepLines w:val="0"/>
        <w:pageBreakBefore w:val="0"/>
        <w:widowControl w:val="0"/>
        <w:numPr>
          <w:ilvl w:val="0"/>
          <w:numId w:val="20"/>
        </w:numPr>
        <w:kinsoku/>
        <w:wordWrap/>
        <w:overflowPunct/>
        <w:topLinePunct w:val="0"/>
        <w:autoSpaceDE/>
        <w:autoSpaceDN/>
        <w:bidi w:val="0"/>
        <w:adjustRightInd/>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评价组织</w:t>
      </w:r>
    </w:p>
    <w:p w14:paraId="1CCD20D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69E8C136">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三、绩效分析</w:t>
      </w:r>
      <w:r>
        <w:rPr>
          <w:rFonts w:hint="eastAsia" w:ascii="Times New Roman" w:hAnsi="Times New Roman" w:eastAsia="黑体" w:cs="Times New Roman"/>
          <w:sz w:val="32"/>
          <w:lang w:val="zh-CN" w:eastAsia="zh-CN"/>
        </w:rPr>
        <w:tab/>
      </w:r>
    </w:p>
    <w:p w14:paraId="7BED41A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1CED55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p>
    <w:p w14:paraId="354D4B4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 xml:space="preserve">1. </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02E391D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 xml:space="preserve">2. </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142D5B7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 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37C4B1E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4. 项目结果：围绕</w:t>
      </w:r>
      <w:r>
        <w:rPr>
          <w:rFonts w:hint="eastAsia" w:ascii="仿宋_GB2312" w:hAnsi="仿宋_GB2312" w:eastAsia="仿宋_GB2312" w:cs="仿宋_GB2312"/>
          <w:spacing w:val="0"/>
          <w:sz w:val="32"/>
          <w:szCs w:val="32"/>
          <w:lang w:val="zh-CN" w:eastAsia="zh-CN"/>
        </w:rPr>
        <w:t>目标完成、完成时效进行绩效分析。</w:t>
      </w:r>
    </w:p>
    <w:p w14:paraId="5EB8A620">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p>
    <w:p w14:paraId="109B20C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项目资金合理分配到校、对象精准、分配标准合理，改善了学校办学条件，助力学生成长成才，还</w:t>
      </w:r>
      <w:r>
        <w:rPr>
          <w:rFonts w:hint="eastAsia" w:ascii="仿宋_GB2312" w:hAnsi="仿宋_GB2312" w:eastAsia="仿宋_GB2312" w:cs="仿宋_GB2312"/>
          <w:spacing w:val="0"/>
          <w:sz w:val="32"/>
          <w:szCs w:val="32"/>
          <w:lang w:val="zh-CN" w:eastAsia="zh-CN"/>
        </w:rPr>
        <w:t>保障</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高质量发展</w:t>
      </w:r>
      <w:r>
        <w:rPr>
          <w:rFonts w:hint="eastAsia" w:ascii="仿宋_GB2312" w:hAnsi="仿宋_GB2312" w:eastAsia="仿宋_GB2312" w:cs="仿宋_GB2312"/>
          <w:spacing w:val="0"/>
          <w:sz w:val="32"/>
          <w:szCs w:val="32"/>
          <w:lang w:val="zh-CN" w:eastAsia="zh-CN"/>
        </w:rPr>
        <w:t>。</w:t>
      </w:r>
    </w:p>
    <w:p w14:paraId="1A23E2E9">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（三）</w:t>
      </w:r>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p>
    <w:p w14:paraId="3202CFF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三名工程建设各大版块建设进度覆盖率大于90%，学校建设各项目合格率大于95%，服务对象</w:t>
      </w:r>
      <w:r>
        <w:rPr>
          <w:rFonts w:hint="eastAsia" w:ascii="仿宋_GB2312" w:hAnsi="仿宋_GB2312" w:eastAsia="仿宋_GB2312" w:cs="仿宋_GB2312"/>
          <w:spacing w:val="0"/>
          <w:sz w:val="32"/>
          <w:szCs w:val="32"/>
          <w:lang w:val="zh-CN" w:eastAsia="zh-CN"/>
        </w:rPr>
        <w:t>满意度大于95%。</w:t>
      </w:r>
    </w:p>
    <w:p w14:paraId="1902BCC6">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四、评价结论</w:t>
      </w:r>
    </w:p>
    <w:p w14:paraId="55BAF94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color w:val="auto"/>
          <w:kern w:val="0"/>
          <w:position w:val="0"/>
          <w:sz w:val="32"/>
          <w:szCs w:val="32"/>
          <w:highlight w:val="none"/>
          <w:u w:val="none"/>
          <w:shd w:val="clear" w:color="auto" w:fill="FFFFFF"/>
          <w:lang w:val="zh-CN" w:eastAsia="zh-CN" w:bidi="ar-SA"/>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绩效总体得分93分，</w:t>
      </w:r>
      <w:r>
        <w:rPr>
          <w:rFonts w:hint="eastAsia" w:ascii="仿宋_GB2312" w:hAnsi="仿宋_GB2312" w:eastAsia="仿宋_GB2312" w:cs="仿宋_GB2312"/>
          <w:spacing w:val="0"/>
          <w:sz w:val="32"/>
          <w:szCs w:val="32"/>
          <w:lang w:val="zh-CN" w:eastAsia="zh-CN"/>
        </w:rPr>
        <w:t>实施达到了预期的社会效益，教师和学生满意度较好。</w:t>
      </w:r>
    </w:p>
    <w:p w14:paraId="4592C375">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eastAsia="zh-CN"/>
        </w:rPr>
      </w:pPr>
      <w:r>
        <w:rPr>
          <w:rFonts w:hint="eastAsia" w:ascii="Times New Roman" w:hAnsi="Times New Roman" w:eastAsia="黑体" w:cs="Times New Roman"/>
          <w:sz w:val="32"/>
          <w:lang w:val="zh-CN" w:eastAsia="zh-CN"/>
        </w:rPr>
        <w:t>五、存在主要问题</w:t>
      </w:r>
    </w:p>
    <w:p w14:paraId="693E868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7B4EA70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六、改进建议</w:t>
      </w:r>
    </w:p>
    <w:p w14:paraId="2982E1B0">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en"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1A281AFE">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p>
    <w:p w14:paraId="613D5D80">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附表：1.项目资金分配涉及所有点位自评得分情况表</w:t>
      </w:r>
    </w:p>
    <w:p w14:paraId="6277B38D">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2.专项资金绩效目标完成情况自评表</w:t>
      </w:r>
    </w:p>
    <w:p w14:paraId="5C7D4723">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br w:type="page"/>
      </w:r>
    </w:p>
    <w:p w14:paraId="40FCCCB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22" w:name="_Toc29278"/>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22"/>
    </w:p>
    <w:p w14:paraId="08018D8A">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3782"/>
        <w:gridCol w:w="2816"/>
        <w:gridCol w:w="976"/>
      </w:tblGrid>
      <w:tr w14:paraId="20F0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exact"/>
          <w:jc w:val="center"/>
        </w:trPr>
        <w:tc>
          <w:tcPr>
            <w:tcW w:w="1104" w:type="dxa"/>
            <w:vAlign w:val="center"/>
          </w:tcPr>
          <w:p w14:paraId="00DFD655">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782" w:type="dxa"/>
            <w:vAlign w:val="center"/>
          </w:tcPr>
          <w:p w14:paraId="0988FD4F">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16" w:type="dxa"/>
            <w:vAlign w:val="center"/>
          </w:tcPr>
          <w:p w14:paraId="1EB9AD78">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76" w:type="dxa"/>
            <w:vAlign w:val="center"/>
          </w:tcPr>
          <w:p w14:paraId="48D17A94">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3C57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exact"/>
          <w:jc w:val="center"/>
        </w:trPr>
        <w:tc>
          <w:tcPr>
            <w:tcW w:w="1104" w:type="dxa"/>
            <w:vAlign w:val="center"/>
          </w:tcPr>
          <w:p w14:paraId="57D13FE3">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782" w:type="dxa"/>
            <w:vAlign w:val="center"/>
          </w:tcPr>
          <w:p w14:paraId="695BDB8A">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r>
              <w:rPr>
                <w:rFonts w:hint="eastAsia" w:ascii="宋体" w:hAnsi="宋体" w:cs="宋体"/>
                <w:color w:val="auto"/>
                <w:sz w:val="24"/>
                <w:szCs w:val="24"/>
                <w:highlight w:val="none"/>
                <w:u w:val="none"/>
                <w:vertAlign w:val="baseline"/>
                <w:lang w:val="en" w:eastAsia="zh-CN"/>
              </w:rPr>
              <w:t>遂宁市</w:t>
            </w:r>
            <w:r>
              <w:rPr>
                <w:rFonts w:hint="eastAsia" w:ascii="宋体" w:hAnsi="宋体" w:cs="宋体"/>
                <w:color w:val="auto"/>
                <w:sz w:val="24"/>
                <w:szCs w:val="24"/>
                <w:highlight w:val="none"/>
                <w:u w:val="none"/>
                <w:vertAlign w:val="baseline"/>
                <w:lang w:val="en-US" w:eastAsia="zh-CN"/>
              </w:rPr>
              <w:t>职业技术</w:t>
            </w:r>
            <w:r>
              <w:rPr>
                <w:rFonts w:hint="eastAsia" w:ascii="宋体" w:hAnsi="宋体" w:cs="宋体"/>
                <w:color w:val="auto"/>
                <w:sz w:val="24"/>
                <w:szCs w:val="24"/>
                <w:highlight w:val="none"/>
                <w:u w:val="none"/>
                <w:vertAlign w:val="baseline"/>
                <w:lang w:val="en" w:eastAsia="zh-CN"/>
              </w:rPr>
              <w:t>学校</w:t>
            </w:r>
          </w:p>
        </w:tc>
        <w:tc>
          <w:tcPr>
            <w:tcW w:w="2816" w:type="dxa"/>
            <w:vAlign w:val="center"/>
          </w:tcPr>
          <w:p w14:paraId="5B59B79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93</w:t>
            </w:r>
          </w:p>
          <w:p w14:paraId="609B3557">
            <w:pPr>
              <w:pStyle w:val="26"/>
              <w:pageBreakBefore w:val="0"/>
              <w:kinsoku/>
              <w:wordWrap/>
              <w:overflowPunct/>
              <w:topLinePunct w:val="0"/>
              <w:autoSpaceDE/>
              <w:autoSpaceDN/>
              <w:bidi w:val="0"/>
              <w:snapToGrid w:val="0"/>
              <w:spacing w:line="360" w:lineRule="auto"/>
              <w:jc w:val="center"/>
              <w:rPr>
                <w:rFonts w:hint="default"/>
                <w:lang w:val="en-US" w:eastAsia="zh-CN"/>
              </w:rPr>
            </w:pPr>
          </w:p>
        </w:tc>
        <w:tc>
          <w:tcPr>
            <w:tcW w:w="976" w:type="dxa"/>
            <w:vAlign w:val="center"/>
          </w:tcPr>
          <w:p w14:paraId="7546404E">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4DAF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exact"/>
          <w:jc w:val="center"/>
        </w:trPr>
        <w:tc>
          <w:tcPr>
            <w:tcW w:w="1104" w:type="dxa"/>
            <w:vAlign w:val="center"/>
          </w:tcPr>
          <w:p w14:paraId="45C4195B">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782" w:type="dxa"/>
            <w:vAlign w:val="center"/>
          </w:tcPr>
          <w:p w14:paraId="2129F639">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2816" w:type="dxa"/>
            <w:vAlign w:val="center"/>
          </w:tcPr>
          <w:p w14:paraId="26562CEE">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976" w:type="dxa"/>
            <w:vAlign w:val="center"/>
          </w:tcPr>
          <w:p w14:paraId="4F487926">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66458D3A">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5AFCD1D">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541EC669">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146FF749">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689CC629">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88AE27B">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690B3E2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1E0500B6">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8B6012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6EF7A397">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2DF9F78C">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6A9CD53E">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C7C30C0">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2E990F1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5880804E">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FCB746B">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123" w:name="_Toc11532"/>
      <w:r>
        <w:rPr>
          <w:rFonts w:hint="default" w:ascii="Times New Roman" w:hAnsi="Times New Roman" w:eastAsia="黑体" w:cs="Times New Roman"/>
          <w:kern w:val="2"/>
          <w:sz w:val="32"/>
          <w:szCs w:val="24"/>
          <w:highlight w:val="none"/>
          <w:lang w:val="en-US" w:eastAsia="zh-CN" w:bidi="ar-SA"/>
        </w:rPr>
        <w:t>附表2</w:t>
      </w:r>
      <w:bookmarkEnd w:id="123"/>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01"/>
        <w:gridCol w:w="1030"/>
        <w:gridCol w:w="1032"/>
        <w:gridCol w:w="1091"/>
        <w:gridCol w:w="929"/>
        <w:gridCol w:w="800"/>
        <w:gridCol w:w="880"/>
        <w:gridCol w:w="771"/>
        <w:gridCol w:w="1546"/>
      </w:tblGrid>
      <w:tr w14:paraId="16357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8" w:hRule="atLeast"/>
          <w:jc w:val="center"/>
        </w:trPr>
        <w:tc>
          <w:tcPr>
            <w:tcW w:w="8480" w:type="dxa"/>
            <w:gridSpan w:val="9"/>
            <w:shd w:val="clear" w:color="auto" w:fill="auto"/>
            <w:vAlign w:val="center"/>
          </w:tcPr>
          <w:p w14:paraId="67673E8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7300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9" w:hRule="atLeast"/>
          <w:jc w:val="center"/>
        </w:trPr>
        <w:tc>
          <w:tcPr>
            <w:tcW w:w="355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629867">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项目名称</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E8DC4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仿宋_GB2312" w:cs="Times New Roman"/>
                <w:color w:val="auto"/>
                <w:sz w:val="32"/>
                <w:lang w:val="en-US" w:eastAsia="zh-CN"/>
              </w:rPr>
              <w:t>现代职业教育质量提升计划资金</w:t>
            </w:r>
          </w:p>
        </w:tc>
      </w:tr>
      <w:tr w14:paraId="11A74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355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57039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FD2A83">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遂宁市</w:t>
            </w:r>
            <w:r>
              <w:rPr>
                <w:rFonts w:hint="eastAsia" w:ascii="宋体" w:hAnsi="宋体" w:eastAsia="宋体" w:cs="宋体"/>
                <w:i w:val="0"/>
                <w:color w:val="000000"/>
                <w:sz w:val="24"/>
                <w:szCs w:val="24"/>
                <w:u w:val="none"/>
                <w:lang w:val="en-US" w:eastAsia="zh-CN"/>
              </w:rPr>
              <w:t>职业技术学校</w:t>
            </w:r>
          </w:p>
        </w:tc>
      </w:tr>
      <w:tr w14:paraId="35601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355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D5737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714F8C">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auto"/>
                <w:sz w:val="24"/>
                <w:szCs w:val="24"/>
                <w:u w:val="none"/>
                <w:lang w:val="en-US" w:eastAsia="zh-CN"/>
              </w:rPr>
              <w:t>民生保障</w:t>
            </w:r>
          </w:p>
        </w:tc>
      </w:tr>
      <w:tr w14:paraId="38D7F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3" w:hRule="atLeast"/>
          <w:jc w:val="center"/>
        </w:trPr>
        <w:tc>
          <w:tcPr>
            <w:tcW w:w="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9228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048AF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1163793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461508">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3383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A2A9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8FB11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3225FF">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3E5E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6"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BA85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F0620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989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FBC2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D95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E7C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09F81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9"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0D94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1C3AA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48BF87">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p>
        </w:tc>
      </w:tr>
      <w:tr w14:paraId="5ADC6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3"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433C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26A1B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3CDFC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hint="eastAsia" w:ascii="宋体" w:hAnsi="宋体" w:eastAsia="宋体" w:cs="宋体"/>
                <w:i w:val="0"/>
                <w:color w:val="000000"/>
                <w:kern w:val="0"/>
                <w:sz w:val="24"/>
                <w:szCs w:val="24"/>
                <w:u w:val="none"/>
                <w:lang w:val="zh-CN" w:eastAsia="zh-CN" w:bidi="ar"/>
              </w:rPr>
            </w:pPr>
            <w:r>
              <w:rPr>
                <w:rFonts w:hint="eastAsia" w:ascii="宋体" w:hAnsi="宋体" w:eastAsia="宋体" w:cs="宋体"/>
                <w:i w:val="0"/>
                <w:color w:val="000000"/>
                <w:kern w:val="0"/>
                <w:sz w:val="24"/>
                <w:szCs w:val="24"/>
                <w:u w:val="none"/>
                <w:lang w:val="en-US" w:eastAsia="zh-CN" w:bidi="ar"/>
              </w:rPr>
              <w:t>保障中职学校三名工程建设、改善办学条件、收购机电校、加强职业教育高素质教师等。</w:t>
            </w:r>
          </w:p>
          <w:p w14:paraId="3D4F1A96">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40A2E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19C6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DF4E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8CC587">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职业教育学校</w:t>
            </w:r>
          </w:p>
        </w:tc>
      </w:tr>
      <w:tr w14:paraId="2F39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9"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0E0BF">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1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7F543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199B6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1E0B7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14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6F82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0D1448E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5303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D66B4E">
            <w:pPr>
              <w:keepNext w:val="0"/>
              <w:keepLines w:val="0"/>
              <w:pageBreakBefore w:val="0"/>
              <w:tabs>
                <w:tab w:val="left" w:pos="2001"/>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741.88</w:t>
            </w:r>
          </w:p>
        </w:tc>
      </w:tr>
      <w:tr w14:paraId="77CB1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 w:hRule="atLeast"/>
          <w:jc w:val="center"/>
        </w:trPr>
        <w:tc>
          <w:tcPr>
            <w:tcW w:w="14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DF66B">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4F3A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其中：财政拨款</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639750">
            <w:pPr>
              <w:keepNext w:val="0"/>
              <w:keepLines w:val="0"/>
              <w:pageBreakBefore w:val="0"/>
              <w:tabs>
                <w:tab w:val="left" w:pos="2382"/>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741.88</w:t>
            </w:r>
          </w:p>
        </w:tc>
      </w:tr>
      <w:tr w14:paraId="7651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1" w:hRule="atLeast"/>
          <w:jc w:val="center"/>
        </w:trPr>
        <w:tc>
          <w:tcPr>
            <w:tcW w:w="14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04A8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AAA4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492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4BABCC">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57CA2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4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A06E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07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D3185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4662E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5" w:hRule="atLeast"/>
          <w:jc w:val="center"/>
        </w:trPr>
        <w:tc>
          <w:tcPr>
            <w:tcW w:w="4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0FC4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07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B3FBDE">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大力推进学校三名工程建设</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lang w:val="en-US" w:eastAsia="zh-CN"/>
              </w:rPr>
              <w:t>提升学校办学质量、保障学校工作顺利开展</w:t>
            </w:r>
            <w:r>
              <w:rPr>
                <w:rFonts w:hint="eastAsia" w:ascii="宋体" w:hAnsi="宋体" w:eastAsia="宋体" w:cs="宋体"/>
                <w:i w:val="0"/>
                <w:color w:val="000000"/>
                <w:sz w:val="24"/>
                <w:szCs w:val="24"/>
                <w:u w:val="none"/>
              </w:rPr>
              <w:t>。</w:t>
            </w:r>
          </w:p>
        </w:tc>
      </w:tr>
      <w:tr w14:paraId="42D2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6" w:hRule="atLeast"/>
          <w:jc w:val="center"/>
        </w:trPr>
        <w:tc>
          <w:tcPr>
            <w:tcW w:w="4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8C11D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B8CC46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14:paraId="04653AD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CD11C6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0DB66F3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1E1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7C1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B0C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67A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27AD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6" w:hRule="atLeast"/>
          <w:jc w:val="center"/>
        </w:trPr>
        <w:tc>
          <w:tcPr>
            <w:tcW w:w="4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535DE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66046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62FD1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2942758">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学生受益率</w:t>
            </w: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556BB68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B4A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5A6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6273">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0F51">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7DC7E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6" w:hRule="atLeast"/>
          <w:jc w:val="center"/>
        </w:trPr>
        <w:tc>
          <w:tcPr>
            <w:tcW w:w="4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D41D1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96DEE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5706D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6E713A2">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版块覆盖率</w:t>
            </w: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54B6325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9FC7">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FDA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4215">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99D6">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3DD1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4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1A236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786C5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E2A9E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3A6A42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项目</w:t>
            </w:r>
            <w:r>
              <w:rPr>
                <w:rFonts w:hint="eastAsia" w:ascii="宋体" w:hAnsi="宋体" w:eastAsia="宋体" w:cs="宋体"/>
                <w:i w:val="0"/>
                <w:color w:val="000000"/>
                <w:sz w:val="24"/>
                <w:szCs w:val="24"/>
                <w:u w:val="none"/>
              </w:rPr>
              <w:t>质量</w:t>
            </w: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39C094B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446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A7B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EB41">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ED3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12AA7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4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BB15C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C708C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9E4F3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2E20F3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1DBEBE3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C09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3D6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B93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50C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6EDA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 w:hRule="atLeast"/>
          <w:jc w:val="center"/>
        </w:trPr>
        <w:tc>
          <w:tcPr>
            <w:tcW w:w="4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BF76B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9EC3D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14:paraId="609E9C6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0A1D0BF">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建设</w:t>
            </w:r>
            <w:r>
              <w:rPr>
                <w:rFonts w:hint="eastAsia" w:ascii="宋体" w:hAnsi="宋体" w:eastAsia="宋体" w:cs="宋体"/>
                <w:i w:val="0"/>
                <w:color w:val="000000"/>
                <w:sz w:val="24"/>
                <w:szCs w:val="24"/>
                <w:u w:val="none"/>
              </w:rPr>
              <w:t>时效</w:t>
            </w: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566B52D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C893">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6F0F">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78F3">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A36C">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041BA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20" w:hRule="atLeast"/>
          <w:jc w:val="center"/>
        </w:trPr>
        <w:tc>
          <w:tcPr>
            <w:tcW w:w="4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209C0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95CA9D2">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23328E94">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14:paraId="7A25DB1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44A5C1F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CA587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满意度</w:t>
            </w:r>
          </w:p>
        </w:tc>
        <w:tc>
          <w:tcPr>
            <w:tcW w:w="929" w:type="dxa"/>
            <w:tcBorders>
              <w:top w:val="single" w:color="000000" w:sz="4" w:space="0"/>
              <w:left w:val="single" w:color="auto" w:sz="4" w:space="0"/>
              <w:bottom w:val="single" w:color="000000" w:sz="4" w:space="0"/>
              <w:right w:val="single" w:color="000000" w:sz="4" w:space="0"/>
            </w:tcBorders>
            <w:shd w:val="clear" w:color="auto" w:fill="auto"/>
            <w:vAlign w:val="center"/>
          </w:tcPr>
          <w:p w14:paraId="04B09371">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71D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B48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60B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B7F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bl>
    <w:p w14:paraId="743F465F">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6AD29EB8">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81DCBA1">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25C85AF7">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399CB4F">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239D7486">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52418540">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DB9F9B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9780D50">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78A8AA54">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05444365">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5D2B069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324E2AA2">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5ACC207A">
      <w:pPr>
        <w:pageBreakBefore w:val="0"/>
        <w:kinsoku/>
        <w:wordWrap/>
        <w:overflowPunct/>
        <w:topLinePunct w:val="0"/>
        <w:autoSpaceDE/>
        <w:autoSpaceDN/>
        <w:bidi w:val="0"/>
        <w:snapToGrid w:val="0"/>
        <w:spacing w:line="360" w:lineRule="auto"/>
        <w:jc w:val="both"/>
        <w:rPr>
          <w:rFonts w:hint="eastAsia" w:ascii="仿宋_GB2312" w:hAnsi="仿宋_GB2312" w:eastAsia="仿宋_GB2312" w:cs="仿宋_GB2312"/>
          <w:b/>
          <w:bCs/>
          <w:spacing w:val="-20"/>
          <w:position w:val="0"/>
          <w:sz w:val="32"/>
          <w:szCs w:val="32"/>
        </w:rPr>
      </w:pPr>
    </w:p>
    <w:p w14:paraId="417FB745">
      <w:pPr>
        <w:pageBreakBefore w:val="0"/>
        <w:kinsoku/>
        <w:wordWrap/>
        <w:overflowPunct/>
        <w:topLinePunct w:val="0"/>
        <w:autoSpaceDE/>
        <w:autoSpaceDN/>
        <w:bidi w:val="0"/>
        <w:snapToGrid w:val="0"/>
        <w:spacing w:line="360" w:lineRule="auto"/>
        <w:jc w:val="both"/>
        <w:outlineLvl w:val="0"/>
        <w:rPr>
          <w:rFonts w:hint="eastAsia" w:ascii="黑体" w:hAnsi="黑体" w:eastAsia="黑体" w:cs="黑体"/>
          <w:b w:val="0"/>
          <w:bCs w:val="0"/>
          <w:sz w:val="32"/>
          <w:szCs w:val="32"/>
          <w:lang w:val="en-US" w:eastAsia="zh-CN"/>
        </w:rPr>
      </w:pPr>
      <w:bookmarkStart w:id="124" w:name="_Toc28371"/>
      <w:r>
        <w:rPr>
          <w:rFonts w:hint="eastAsia" w:ascii="黑体" w:hAnsi="黑体" w:eastAsia="黑体" w:cs="黑体"/>
          <w:b w:val="0"/>
          <w:bCs w:val="0"/>
          <w:spacing w:val="-20"/>
          <w:position w:val="0"/>
          <w:sz w:val="32"/>
          <w:szCs w:val="32"/>
        </w:rPr>
        <w:t>附件</w:t>
      </w:r>
      <w:r>
        <w:rPr>
          <w:rFonts w:hint="eastAsia" w:ascii="黑体" w:hAnsi="黑体" w:eastAsia="黑体" w:cs="黑体"/>
          <w:b w:val="0"/>
          <w:bCs w:val="0"/>
          <w:spacing w:val="-20"/>
          <w:position w:val="0"/>
          <w:sz w:val="32"/>
          <w:szCs w:val="32"/>
          <w:lang w:val="en-US" w:eastAsia="zh-CN"/>
        </w:rPr>
        <w:t>8</w:t>
      </w:r>
      <w:bookmarkEnd w:id="124"/>
    </w:p>
    <w:p w14:paraId="3BF2CB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支持中等职业教育发展资金</w:t>
      </w:r>
    </w:p>
    <w:p w14:paraId="342185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绩效自评报告</w:t>
      </w:r>
    </w:p>
    <w:p w14:paraId="38D8ECEA">
      <w:pPr>
        <w:pageBreakBefore w:val="0"/>
        <w:numPr>
          <w:ilvl w:val="0"/>
          <w:numId w:val="0"/>
        </w:numPr>
        <w:kinsoku/>
        <w:wordWrap/>
        <w:overflowPunct/>
        <w:topLinePunct w:val="0"/>
        <w:autoSpaceDE/>
        <w:autoSpaceDN/>
        <w:bidi w:val="0"/>
        <w:adjustRightInd w:val="0"/>
        <w:snapToGrid w:val="0"/>
        <w:spacing w:line="360" w:lineRule="auto"/>
        <w:rPr>
          <w:rFonts w:hint="eastAsia" w:ascii="Times New Roman" w:hAnsi="Times New Roman" w:eastAsia="黑体" w:cs="Times New Roman"/>
          <w:sz w:val="32"/>
          <w:lang w:val="zh-CN"/>
        </w:rPr>
      </w:pPr>
    </w:p>
    <w:p w14:paraId="1AF7AB42">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rPr>
      </w:pPr>
      <w:r>
        <w:rPr>
          <w:rFonts w:hint="eastAsia" w:ascii="Times New Roman" w:hAnsi="Times New Roman" w:eastAsia="黑体" w:cs="Times New Roman"/>
          <w:sz w:val="32"/>
          <w:lang w:val="zh-CN"/>
        </w:rPr>
        <w:t>一、项目概况</w:t>
      </w:r>
    </w:p>
    <w:p w14:paraId="13BE47A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643" w:firstLineChars="200"/>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（一）设立背景及基本情况</w:t>
      </w:r>
    </w:p>
    <w:p w14:paraId="7E29DD9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rPr>
      </w:pPr>
      <w:r>
        <w:rPr>
          <w:rFonts w:hint="eastAsia" w:ascii="仿宋_GB2312" w:hAnsi="仿宋_GB2312" w:eastAsia="仿宋_GB2312" w:cs="仿宋_GB2312"/>
          <w:spacing w:val="0"/>
          <w:sz w:val="32"/>
          <w:szCs w:val="32"/>
          <w:lang w:val="en-US" w:eastAsia="zh-CN"/>
        </w:rPr>
        <w:t>支持中等职业教育发展资金</w:t>
      </w:r>
      <w:r>
        <w:rPr>
          <w:rFonts w:hint="eastAsia" w:ascii="仿宋_GB2312" w:hAnsi="仿宋_GB2312" w:eastAsia="仿宋_GB2312" w:cs="仿宋_GB2312"/>
          <w:spacing w:val="0"/>
          <w:sz w:val="32"/>
          <w:szCs w:val="32"/>
          <w:lang w:val="zh-CN" w:eastAsia="zh-CN"/>
        </w:rPr>
        <w:t>由</w:t>
      </w:r>
      <w:r>
        <w:rPr>
          <w:rFonts w:hint="eastAsia" w:ascii="仿宋_GB2312" w:hAnsi="仿宋_GB2312" w:eastAsia="仿宋_GB2312" w:cs="仿宋_GB2312"/>
          <w:spacing w:val="0"/>
          <w:sz w:val="32"/>
          <w:szCs w:val="32"/>
          <w:lang w:val="en-US" w:eastAsia="zh-CN"/>
        </w:rPr>
        <w:t>中央财政统一职业学校发展需要拨款1641.86万元。</w:t>
      </w:r>
      <w:r>
        <w:rPr>
          <w:rFonts w:hint="eastAsia" w:ascii="仿宋_GB2312" w:hAnsi="仿宋_GB2312" w:eastAsia="仿宋_GB2312" w:cs="仿宋_GB2312"/>
          <w:spacing w:val="0"/>
          <w:sz w:val="32"/>
          <w:szCs w:val="32"/>
          <w:lang w:val="zh-CN" w:eastAsia="zh-CN"/>
        </w:rPr>
        <w:t>主要用于</w:t>
      </w:r>
      <w:r>
        <w:rPr>
          <w:rFonts w:hint="eastAsia" w:ascii="仿宋_GB2312" w:hAnsi="仿宋_GB2312" w:eastAsia="仿宋_GB2312" w:cs="仿宋_GB2312"/>
          <w:spacing w:val="0"/>
          <w:sz w:val="32"/>
          <w:szCs w:val="32"/>
          <w:lang w:val="en-US" w:eastAsia="zh-CN"/>
        </w:rPr>
        <w:t>保障“9+3”学生顺利完成学业、改善办学条件、加强培养职业教育高素质教师等。</w:t>
      </w:r>
    </w:p>
    <w:p w14:paraId="4CEA255A">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实施目的及支持方向</w:t>
      </w:r>
    </w:p>
    <w:p w14:paraId="189519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保障“9+3”学生顺利完成学业，促进职业教育高质量发展。</w:t>
      </w:r>
    </w:p>
    <w:p w14:paraId="609BE1B7">
      <w:pPr>
        <w:keepNext w:val="0"/>
        <w:keepLines w:val="0"/>
        <w:pageBreakBefore w:val="0"/>
        <w:widowControl w:val="0"/>
        <w:numPr>
          <w:ilvl w:val="0"/>
          <w:numId w:val="21"/>
        </w:numPr>
        <w:kinsoku/>
        <w:wordWrap/>
        <w:overflowPunct/>
        <w:topLinePunct w:val="0"/>
        <w:autoSpaceDE/>
        <w:autoSpaceDN/>
        <w:bidi w:val="0"/>
        <w:adjustRightInd w:val="0"/>
        <w:snapToGrid w:val="0"/>
        <w:spacing w:line="360" w:lineRule="auto"/>
        <w:ind w:leftChars="0" w:firstLine="643" w:firstLineChars="200"/>
        <w:jc w:val="left"/>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 xml:space="preserve">预算安排及分配管理                 </w:t>
      </w:r>
    </w:p>
    <w:p w14:paraId="2EC62D8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rPr>
      </w:pPr>
      <w:r>
        <w:rPr>
          <w:rFonts w:hint="eastAsia" w:ascii="仿宋_GB2312" w:hAnsi="仿宋_GB2312" w:eastAsia="仿宋_GB2312" w:cs="仿宋_GB2312"/>
          <w:spacing w:val="0"/>
          <w:sz w:val="32"/>
          <w:szCs w:val="32"/>
          <w:lang w:val="zh-CN" w:eastAsia="zh-CN"/>
        </w:rPr>
        <w:t>按照</w:t>
      </w:r>
      <w:r>
        <w:rPr>
          <w:rFonts w:hint="eastAsia" w:ascii="仿宋_GB2312" w:hAnsi="仿宋_GB2312" w:eastAsia="仿宋_GB2312" w:cs="仿宋_GB2312"/>
          <w:spacing w:val="0"/>
          <w:sz w:val="32"/>
          <w:szCs w:val="32"/>
          <w:lang w:val="en-US" w:eastAsia="zh-CN"/>
        </w:rPr>
        <w:t>中省</w:t>
      </w:r>
      <w:r>
        <w:rPr>
          <w:rFonts w:hint="eastAsia" w:ascii="仿宋_GB2312" w:hAnsi="仿宋_GB2312" w:eastAsia="仿宋_GB2312" w:cs="仿宋_GB2312"/>
          <w:spacing w:val="0"/>
          <w:sz w:val="32"/>
          <w:szCs w:val="32"/>
          <w:lang w:val="zh-CN" w:eastAsia="zh-CN"/>
        </w:rPr>
        <w:t>财政下达指标结合实际，按照程序申报，目标合理可行。所有项目及时分配资金，中省下达专项经费及时完成发放。</w:t>
      </w:r>
    </w:p>
    <w:p w14:paraId="370322A3">
      <w:pPr>
        <w:keepNext w:val="0"/>
        <w:keepLines w:val="0"/>
        <w:pageBreakBefore w:val="0"/>
        <w:widowControl/>
        <w:numPr>
          <w:ilvl w:val="0"/>
          <w:numId w:val="21"/>
        </w:numPr>
        <w:kinsoku/>
        <w:wordWrap/>
        <w:overflowPunct/>
        <w:topLinePunct w:val="0"/>
        <w:autoSpaceDE/>
        <w:autoSpaceDN/>
        <w:bidi w:val="0"/>
        <w:adjustRightInd w:val="0"/>
        <w:snapToGrid w:val="0"/>
        <w:spacing w:line="360" w:lineRule="auto"/>
        <w:ind w:left="0" w:leftChars="0" w:firstLine="643" w:firstLineChars="200"/>
        <w:contextualSpacing/>
        <w:jc w:val="left"/>
        <w:textAlignment w:val="auto"/>
        <w:rPr>
          <w:rFonts w:hint="eastAsia" w:ascii="楷体_GB2312" w:hAnsi="楷体_GB2312" w:eastAsia="楷体_GB2312" w:cs="楷体_GB2312"/>
          <w:b/>
          <w:bCs/>
          <w:spacing w:val="0"/>
          <w:sz w:val="32"/>
          <w:szCs w:val="32"/>
          <w:lang w:val="zh-CN" w:eastAsia="zh-CN"/>
        </w:rPr>
      </w:pPr>
      <w:r>
        <w:rPr>
          <w:rFonts w:hint="eastAsia" w:ascii="楷体_GB2312" w:hAnsi="楷体_GB2312" w:eastAsia="楷体_GB2312" w:cs="楷体_GB2312"/>
          <w:b/>
          <w:bCs/>
          <w:spacing w:val="0"/>
          <w:sz w:val="32"/>
          <w:szCs w:val="32"/>
          <w:lang w:val="zh-CN" w:eastAsia="zh-CN"/>
        </w:rPr>
        <w:t>项目绩效目标设置</w:t>
      </w:r>
    </w:p>
    <w:p w14:paraId="37E74B6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我校根据绩效评价指标体系进行分析，开展自评工作。</w:t>
      </w:r>
    </w:p>
    <w:p w14:paraId="3F84A65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rPr>
        <w:t>二、</w:t>
      </w:r>
      <w:r>
        <w:rPr>
          <w:rFonts w:hint="eastAsia" w:ascii="Times New Roman" w:hAnsi="Times New Roman" w:eastAsia="黑体" w:cs="Times New Roman"/>
          <w:sz w:val="32"/>
          <w:lang w:val="zh-CN" w:eastAsia="zh-CN"/>
        </w:rPr>
        <w:t>评价实施</w:t>
      </w:r>
    </w:p>
    <w:p w14:paraId="318F510B">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rPr>
      </w:pPr>
      <w:r>
        <w:rPr>
          <w:rFonts w:hint="eastAsia" w:ascii="楷体_GB2312" w:hAnsi="楷体_GB2312" w:eastAsia="楷体_GB2312" w:cs="楷体_GB2312"/>
          <w:b/>
          <w:bCs/>
          <w:spacing w:val="0"/>
          <w:sz w:val="32"/>
          <w:szCs w:val="32"/>
          <w:lang w:val="zh-CN"/>
        </w:rPr>
        <w:t>（一）评价目的</w:t>
      </w:r>
    </w:p>
    <w:p w14:paraId="26C6464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通过项目绩效自评，促进</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w:t>
      </w:r>
      <w:r>
        <w:rPr>
          <w:rFonts w:hint="eastAsia" w:ascii="仿宋_GB2312" w:hAnsi="仿宋_GB2312" w:eastAsia="仿宋_GB2312" w:cs="仿宋_GB2312"/>
          <w:spacing w:val="0"/>
          <w:sz w:val="32"/>
          <w:szCs w:val="32"/>
          <w:lang w:val="zh-CN" w:eastAsia="zh-CN"/>
        </w:rPr>
        <w:t>发展。</w:t>
      </w:r>
    </w:p>
    <w:p w14:paraId="2C225536">
      <w:pPr>
        <w:keepNext w:val="0"/>
        <w:keepLines w:val="0"/>
        <w:pageBreakBefore w:val="0"/>
        <w:widowControl w:val="0"/>
        <w:numPr>
          <w:ilvl w:val="0"/>
          <w:numId w:val="22"/>
        </w:numPr>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预设问题及评价重点</w:t>
      </w:r>
    </w:p>
    <w:p w14:paraId="18DC905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照绩效评价指标体系，对资金支出使用全过程及其实施效果进行综合评价和判断。</w:t>
      </w:r>
    </w:p>
    <w:p w14:paraId="73A2CA88">
      <w:pPr>
        <w:keepNext w:val="0"/>
        <w:keepLines w:val="0"/>
        <w:pageBreakBefore w:val="0"/>
        <w:widowControl w:val="0"/>
        <w:numPr>
          <w:ilvl w:val="0"/>
          <w:numId w:val="22"/>
        </w:numPr>
        <w:kinsoku/>
        <w:wordWrap/>
        <w:overflowPunct/>
        <w:topLinePunct w:val="0"/>
        <w:autoSpaceDE/>
        <w:autoSpaceDN/>
        <w:bidi w:val="0"/>
        <w:adjustRightInd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评价选点</w:t>
      </w:r>
    </w:p>
    <w:p w14:paraId="5EA5865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抽取“9+3”学生资助率、学校建设以及教师培训提升进度。</w:t>
      </w:r>
    </w:p>
    <w:p w14:paraId="09BB2797">
      <w:pPr>
        <w:keepNext w:val="0"/>
        <w:keepLines w:val="0"/>
        <w:pageBreakBefore w:val="0"/>
        <w:widowControl w:val="0"/>
        <w:numPr>
          <w:ilvl w:val="0"/>
          <w:numId w:val="22"/>
        </w:numPr>
        <w:kinsoku/>
        <w:wordWrap/>
        <w:overflowPunct/>
        <w:topLinePunct w:val="0"/>
        <w:autoSpaceDE/>
        <w:autoSpaceDN/>
        <w:bidi w:val="0"/>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评价方法</w:t>
      </w:r>
    </w:p>
    <w:p w14:paraId="1228CC9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根据项目情况和评价重点，</w:t>
      </w:r>
      <w:r>
        <w:rPr>
          <w:rFonts w:hint="eastAsia" w:ascii="仿宋_GB2312" w:hAnsi="仿宋_GB2312" w:eastAsia="仿宋_GB2312" w:cs="仿宋_GB2312"/>
          <w:spacing w:val="0"/>
          <w:sz w:val="32"/>
          <w:szCs w:val="32"/>
          <w:lang w:val="en-US" w:eastAsia="zh-CN"/>
        </w:rPr>
        <w:t>采用</w:t>
      </w:r>
      <w:r>
        <w:rPr>
          <w:rFonts w:hint="eastAsia" w:ascii="仿宋_GB2312" w:hAnsi="仿宋_GB2312" w:eastAsia="仿宋_GB2312" w:cs="仿宋_GB2312"/>
          <w:spacing w:val="0"/>
          <w:sz w:val="32"/>
          <w:szCs w:val="32"/>
          <w:lang w:val="zh-CN" w:eastAsia="zh-CN"/>
        </w:rPr>
        <w:t>单位自评法。</w:t>
      </w:r>
    </w:p>
    <w:p w14:paraId="08D65E44">
      <w:pPr>
        <w:keepNext w:val="0"/>
        <w:keepLines w:val="0"/>
        <w:pageBreakBefore w:val="0"/>
        <w:widowControl w:val="0"/>
        <w:numPr>
          <w:ilvl w:val="0"/>
          <w:numId w:val="22"/>
        </w:numPr>
        <w:kinsoku/>
        <w:wordWrap/>
        <w:overflowPunct/>
        <w:topLinePunct w:val="0"/>
        <w:autoSpaceDE/>
        <w:autoSpaceDN/>
        <w:bidi w:val="0"/>
        <w:adjustRightInd/>
        <w:snapToGrid w:val="0"/>
        <w:spacing w:line="360" w:lineRule="auto"/>
        <w:ind w:left="0" w:leftChars="0" w:firstLine="643" w:firstLineChars="200"/>
        <w:jc w:val="left"/>
        <w:textAlignment w:val="auto"/>
        <w:outlineLvl w:val="9"/>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评价组织</w:t>
      </w:r>
    </w:p>
    <w:p w14:paraId="1917C6D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zh-CN" w:eastAsia="zh-CN"/>
        </w:rPr>
        <w:t>我校分管财务校长牵头，总务处主任负责具体组织财务人员开展自评工作。</w:t>
      </w:r>
    </w:p>
    <w:p w14:paraId="39F9EF5A">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三、绩效分析</w:t>
      </w:r>
      <w:r>
        <w:rPr>
          <w:rFonts w:hint="eastAsia" w:ascii="Times New Roman" w:hAnsi="Times New Roman" w:eastAsia="黑体" w:cs="Times New Roman"/>
          <w:sz w:val="32"/>
          <w:lang w:val="zh-CN" w:eastAsia="zh-CN"/>
        </w:rPr>
        <w:tab/>
      </w:r>
    </w:p>
    <w:p w14:paraId="07E4EAD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根据项目预算绩效评价指标体系“通用指标”“专用指标”“个性指标”涉及二、三级指标进行逐项绩效分析并评分</w:t>
      </w:r>
      <w:r>
        <w:rPr>
          <w:rFonts w:hint="eastAsia" w:ascii="仿宋_GB2312" w:hAnsi="仿宋_GB2312" w:eastAsia="仿宋_GB2312" w:cs="仿宋_GB2312"/>
          <w:spacing w:val="0"/>
          <w:sz w:val="32"/>
          <w:szCs w:val="32"/>
          <w:lang w:val="en-US" w:eastAsia="zh-CN"/>
        </w:rPr>
        <w:t>。</w:t>
      </w:r>
    </w:p>
    <w:p w14:paraId="535986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zh-CN"/>
        </w:rPr>
        <w:t>（一）</w:t>
      </w:r>
      <w:r>
        <w:rPr>
          <w:rFonts w:hint="eastAsia" w:ascii="楷体_GB2312" w:hAnsi="楷体_GB2312" w:eastAsia="楷体_GB2312" w:cs="楷体_GB2312"/>
          <w:b/>
          <w:bCs/>
          <w:spacing w:val="0"/>
          <w:sz w:val="32"/>
          <w:szCs w:val="32"/>
          <w:lang w:val="en-US" w:eastAsia="zh-CN"/>
        </w:rPr>
        <w:t>通用指标</w:t>
      </w:r>
      <w:r>
        <w:rPr>
          <w:rFonts w:hint="eastAsia" w:ascii="楷体_GB2312" w:hAnsi="楷体_GB2312" w:eastAsia="楷体_GB2312" w:cs="楷体_GB2312"/>
          <w:b/>
          <w:bCs/>
          <w:spacing w:val="0"/>
          <w:sz w:val="32"/>
          <w:szCs w:val="32"/>
          <w:lang w:val="zh-CN"/>
        </w:rPr>
        <w:t>绩效分析</w:t>
      </w:r>
    </w:p>
    <w:p w14:paraId="285CFE4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val="zh-CN" w:eastAsia="zh-CN"/>
        </w:rPr>
        <w:t>项目决策：该项目决策符合国家政策方针，管理符合相关制度，严格完成任务。</w:t>
      </w:r>
    </w:p>
    <w:p w14:paraId="60C602A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val="zh-CN" w:eastAsia="zh-CN"/>
        </w:rPr>
        <w:t>项目管理：按照相关的制度办法管理，项目审批符合流程，实行绩效评价。</w:t>
      </w:r>
    </w:p>
    <w:p w14:paraId="5617E09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3.项目实施：</w:t>
      </w:r>
      <w:r>
        <w:rPr>
          <w:rFonts w:hint="eastAsia" w:ascii="仿宋_GB2312" w:hAnsi="仿宋_GB2312" w:eastAsia="仿宋_GB2312" w:cs="仿宋_GB2312"/>
          <w:spacing w:val="0"/>
          <w:sz w:val="32"/>
          <w:szCs w:val="32"/>
          <w:lang w:val="zh-CN" w:eastAsia="zh-CN"/>
        </w:rPr>
        <w:t>202</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val="zh-CN" w:eastAsia="zh-CN"/>
        </w:rPr>
        <w:t>年度预算资金全部下达并于本年度支付完毕，资金使用合规。</w:t>
      </w:r>
    </w:p>
    <w:p w14:paraId="4240A2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en-US" w:eastAsia="zh-CN"/>
        </w:rPr>
        <w:t>4.项目结果：围绕</w:t>
      </w:r>
      <w:r>
        <w:rPr>
          <w:rFonts w:hint="eastAsia" w:ascii="仿宋_GB2312" w:hAnsi="仿宋_GB2312" w:eastAsia="仿宋_GB2312" w:cs="仿宋_GB2312"/>
          <w:spacing w:val="0"/>
          <w:sz w:val="32"/>
          <w:szCs w:val="32"/>
          <w:lang w:val="zh-CN" w:eastAsia="zh-CN"/>
        </w:rPr>
        <w:t>目标完成、完成时效进行绩效分析。</w:t>
      </w:r>
    </w:p>
    <w:p w14:paraId="28DDEE4C">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仿宋_GB2312" w:hAnsi="仿宋_GB2312" w:eastAsia="仿宋_GB2312" w:cs="仿宋_GB2312"/>
          <w:spacing w:val="0"/>
          <w:sz w:val="32"/>
          <w:szCs w:val="32"/>
          <w:lang w:val="zh-CN" w:eastAsia="zh-CN"/>
        </w:rPr>
      </w:pPr>
      <w:r>
        <w:rPr>
          <w:rFonts w:hint="eastAsia" w:ascii="楷体_GB2312" w:hAnsi="楷体_GB2312" w:eastAsia="楷体_GB2312" w:cs="楷体_GB2312"/>
          <w:b/>
          <w:bCs/>
          <w:spacing w:val="0"/>
          <w:sz w:val="32"/>
          <w:szCs w:val="32"/>
          <w:lang w:val="zh-CN"/>
        </w:rPr>
        <w:t>（二）</w:t>
      </w:r>
      <w:r>
        <w:rPr>
          <w:rFonts w:hint="eastAsia" w:ascii="楷体_GB2312" w:hAnsi="楷体_GB2312" w:eastAsia="楷体_GB2312" w:cs="楷体_GB2312"/>
          <w:b/>
          <w:bCs/>
          <w:spacing w:val="0"/>
          <w:sz w:val="32"/>
          <w:szCs w:val="32"/>
          <w:lang w:val="en-US" w:eastAsia="zh-CN"/>
        </w:rPr>
        <w:t>专用指标</w:t>
      </w:r>
      <w:r>
        <w:rPr>
          <w:rFonts w:hint="eastAsia" w:ascii="楷体_GB2312" w:hAnsi="楷体_GB2312" w:eastAsia="楷体_GB2312" w:cs="楷体_GB2312"/>
          <w:b/>
          <w:bCs/>
          <w:spacing w:val="0"/>
          <w:sz w:val="32"/>
          <w:szCs w:val="32"/>
          <w:lang w:val="zh-CN"/>
        </w:rPr>
        <w:t>绩效分析</w:t>
      </w:r>
    </w:p>
    <w:p w14:paraId="03EB43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zh-CN" w:eastAsia="zh-CN"/>
        </w:rPr>
        <w:t>民生保障：本</w:t>
      </w:r>
      <w:r>
        <w:rPr>
          <w:rFonts w:hint="eastAsia" w:ascii="仿宋_GB2312" w:hAnsi="仿宋_GB2312" w:eastAsia="仿宋_GB2312" w:cs="仿宋_GB2312"/>
          <w:spacing w:val="0"/>
          <w:sz w:val="32"/>
          <w:szCs w:val="32"/>
          <w:lang w:val="en-US" w:eastAsia="zh-CN"/>
        </w:rPr>
        <w:t>项目资金合理分配到校、对象精准、分配标准合理，保障“9+3”学生顺利完成学业，改善了学校办学条件，助力学生成长成才，还</w:t>
      </w:r>
      <w:r>
        <w:rPr>
          <w:rFonts w:hint="eastAsia" w:ascii="仿宋_GB2312" w:hAnsi="仿宋_GB2312" w:eastAsia="仿宋_GB2312" w:cs="仿宋_GB2312"/>
          <w:spacing w:val="0"/>
          <w:sz w:val="32"/>
          <w:szCs w:val="32"/>
          <w:lang w:val="zh-CN" w:eastAsia="zh-CN"/>
        </w:rPr>
        <w:t>保障</w:t>
      </w:r>
      <w:r>
        <w:rPr>
          <w:rFonts w:hint="eastAsia" w:ascii="仿宋_GB2312" w:hAnsi="仿宋_GB2312" w:eastAsia="仿宋_GB2312" w:cs="仿宋_GB2312"/>
          <w:spacing w:val="0"/>
          <w:sz w:val="32"/>
          <w:szCs w:val="32"/>
          <w:lang w:val="en-US" w:eastAsia="zh-CN"/>
        </w:rPr>
        <w:t>职业</w:t>
      </w:r>
      <w:r>
        <w:rPr>
          <w:rFonts w:hint="eastAsia" w:ascii="仿宋_GB2312" w:hAnsi="仿宋_GB2312" w:eastAsia="仿宋_GB2312" w:cs="仿宋_GB2312"/>
          <w:spacing w:val="0"/>
          <w:sz w:val="32"/>
          <w:szCs w:val="32"/>
          <w:lang w:val="zh-CN" w:eastAsia="zh-CN"/>
        </w:rPr>
        <w:t>教育</w:t>
      </w:r>
      <w:r>
        <w:rPr>
          <w:rFonts w:hint="eastAsia" w:ascii="仿宋_GB2312" w:hAnsi="仿宋_GB2312" w:eastAsia="仿宋_GB2312" w:cs="仿宋_GB2312"/>
          <w:spacing w:val="0"/>
          <w:sz w:val="32"/>
          <w:szCs w:val="32"/>
          <w:lang w:val="en-US" w:eastAsia="zh-CN"/>
        </w:rPr>
        <w:t>高质量发展</w:t>
      </w:r>
      <w:r>
        <w:rPr>
          <w:rFonts w:hint="eastAsia" w:ascii="仿宋_GB2312" w:hAnsi="仿宋_GB2312" w:eastAsia="仿宋_GB2312" w:cs="仿宋_GB2312"/>
          <w:spacing w:val="0"/>
          <w:sz w:val="32"/>
          <w:szCs w:val="32"/>
          <w:lang w:val="zh-CN" w:eastAsia="zh-CN"/>
        </w:rPr>
        <w:t>。</w:t>
      </w:r>
    </w:p>
    <w:p w14:paraId="6B75B450">
      <w:pPr>
        <w:keepNext w:val="0"/>
        <w:keepLines w:val="0"/>
        <w:pageBreakBefore w:val="0"/>
        <w:widowControl w:val="0"/>
        <w:kinsoku/>
        <w:wordWrap/>
        <w:overflowPunct/>
        <w:topLinePunct w:val="0"/>
        <w:autoSpaceDE/>
        <w:autoSpaceDN/>
        <w:bidi w:val="0"/>
        <w:snapToGrid w:val="0"/>
        <w:spacing w:line="360" w:lineRule="auto"/>
        <w:ind w:firstLine="643" w:firstLineChars="200"/>
        <w:textAlignment w:val="auto"/>
        <w:rPr>
          <w:rFonts w:hint="eastAsia" w:ascii="楷体_GB2312" w:hAnsi="楷体_GB2312" w:eastAsia="楷体_GB2312" w:cs="楷体_GB2312"/>
          <w:b/>
          <w:bCs/>
          <w:spacing w:val="0"/>
          <w:sz w:val="32"/>
          <w:szCs w:val="32"/>
          <w:lang w:val="zh-CN"/>
        </w:rPr>
      </w:pPr>
      <w:r>
        <w:rPr>
          <w:rFonts w:hint="eastAsia" w:ascii="楷体_GB2312" w:hAnsi="楷体_GB2312" w:eastAsia="楷体_GB2312" w:cs="楷体_GB2312"/>
          <w:b/>
          <w:bCs/>
          <w:spacing w:val="0"/>
          <w:sz w:val="32"/>
          <w:szCs w:val="32"/>
          <w:lang w:val="zh-CN"/>
        </w:rPr>
        <w:t>（三）</w:t>
      </w:r>
      <w:r>
        <w:rPr>
          <w:rFonts w:hint="eastAsia" w:ascii="楷体_GB2312" w:hAnsi="楷体_GB2312" w:eastAsia="楷体_GB2312" w:cs="楷体_GB2312"/>
          <w:b/>
          <w:bCs/>
          <w:spacing w:val="0"/>
          <w:sz w:val="32"/>
          <w:szCs w:val="32"/>
          <w:lang w:val="en-US" w:eastAsia="zh-CN"/>
        </w:rPr>
        <w:t>个性指标</w:t>
      </w:r>
      <w:r>
        <w:rPr>
          <w:rFonts w:hint="eastAsia" w:ascii="楷体_GB2312" w:hAnsi="楷体_GB2312" w:eastAsia="楷体_GB2312" w:cs="楷体_GB2312"/>
          <w:b/>
          <w:bCs/>
          <w:spacing w:val="0"/>
          <w:sz w:val="32"/>
          <w:szCs w:val="32"/>
          <w:lang w:val="zh-CN"/>
        </w:rPr>
        <w:t>绩效分析</w:t>
      </w:r>
    </w:p>
    <w:p w14:paraId="602EA47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“9+3”学生资助率完成100%，学校建设各项目推进率大于90%，服务对象</w:t>
      </w:r>
      <w:r>
        <w:rPr>
          <w:rFonts w:hint="eastAsia" w:ascii="仿宋_GB2312" w:hAnsi="仿宋_GB2312" w:eastAsia="仿宋_GB2312" w:cs="仿宋_GB2312"/>
          <w:spacing w:val="0"/>
          <w:sz w:val="32"/>
          <w:szCs w:val="32"/>
          <w:lang w:val="zh-CN" w:eastAsia="zh-CN"/>
        </w:rPr>
        <w:t>满意度大于95%。</w:t>
      </w:r>
    </w:p>
    <w:p w14:paraId="0C097ED1">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四、评价结论</w:t>
      </w:r>
    </w:p>
    <w:p w14:paraId="7178C2F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t>该项目</w:t>
      </w:r>
      <w:r>
        <w:rPr>
          <w:rFonts w:hint="eastAsia" w:ascii="仿宋_GB2312" w:hAnsi="仿宋_GB2312" w:eastAsia="仿宋_GB2312" w:cs="仿宋_GB2312"/>
          <w:spacing w:val="0"/>
          <w:sz w:val="32"/>
          <w:szCs w:val="32"/>
          <w:lang w:val="en-US" w:eastAsia="zh-CN"/>
        </w:rPr>
        <w:t>绩效总体得分90分，</w:t>
      </w:r>
      <w:r>
        <w:rPr>
          <w:rFonts w:hint="eastAsia" w:ascii="仿宋_GB2312" w:hAnsi="仿宋_GB2312" w:eastAsia="仿宋_GB2312" w:cs="仿宋_GB2312"/>
          <w:spacing w:val="0"/>
          <w:sz w:val="32"/>
          <w:szCs w:val="32"/>
          <w:lang w:val="zh-CN" w:eastAsia="zh-CN"/>
        </w:rPr>
        <w:t>实施达到了预期的社会效益，教师和学生满意度较好。</w:t>
      </w:r>
    </w:p>
    <w:p w14:paraId="09F8BF88">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eastAsia="zh-CN"/>
        </w:rPr>
      </w:pPr>
      <w:r>
        <w:rPr>
          <w:rFonts w:hint="eastAsia" w:ascii="Times New Roman" w:hAnsi="Times New Roman" w:eastAsia="黑体" w:cs="Times New Roman"/>
          <w:sz w:val="32"/>
          <w:lang w:val="zh-CN" w:eastAsia="zh-CN"/>
        </w:rPr>
        <w:t>五、存在主要问题</w:t>
      </w:r>
    </w:p>
    <w:p w14:paraId="6AD34B0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无。</w:t>
      </w:r>
    </w:p>
    <w:p w14:paraId="7DCBE9FC">
      <w:pPr>
        <w:pageBreakBefore w:val="0"/>
        <w:numPr>
          <w:ilvl w:val="0"/>
          <w:numId w:val="0"/>
        </w:numPr>
        <w:kinsoku/>
        <w:wordWrap/>
        <w:overflowPunct/>
        <w:topLinePunct w:val="0"/>
        <w:autoSpaceDE/>
        <w:autoSpaceDN/>
        <w:bidi w:val="0"/>
        <w:adjustRightInd w:val="0"/>
        <w:snapToGrid w:val="0"/>
        <w:spacing w:line="360" w:lineRule="auto"/>
        <w:ind w:firstLine="640" w:firstLineChars="200"/>
        <w:rPr>
          <w:rFonts w:hint="eastAsia" w:ascii="Times New Roman" w:hAnsi="Times New Roman" w:eastAsia="黑体" w:cs="Times New Roman"/>
          <w:sz w:val="32"/>
          <w:lang w:val="zh-CN" w:eastAsia="zh-CN"/>
        </w:rPr>
      </w:pPr>
      <w:r>
        <w:rPr>
          <w:rFonts w:hint="eastAsia" w:ascii="Times New Roman" w:hAnsi="Times New Roman" w:eastAsia="黑体" w:cs="Times New Roman"/>
          <w:sz w:val="32"/>
          <w:lang w:val="zh-CN" w:eastAsia="zh-CN"/>
        </w:rPr>
        <w:t>六、改进建议</w:t>
      </w:r>
    </w:p>
    <w:p w14:paraId="025FD957">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en" w:eastAsia="zh-CN"/>
        </w:rPr>
      </w:pPr>
      <w:r>
        <w:rPr>
          <w:rFonts w:hint="eastAsia" w:ascii="仿宋_GB2312" w:hAnsi="仿宋_GB2312" w:eastAsia="仿宋_GB2312" w:cs="仿宋_GB2312"/>
          <w:spacing w:val="0"/>
          <w:sz w:val="32"/>
          <w:szCs w:val="32"/>
          <w:lang w:val="zh-CN" w:eastAsia="zh-CN"/>
        </w:rPr>
        <w:t xml:space="preserve"> </w:t>
      </w:r>
      <w:r>
        <w:rPr>
          <w:rFonts w:hint="eastAsia" w:ascii="仿宋_GB2312" w:hAnsi="仿宋_GB2312" w:eastAsia="仿宋_GB2312" w:cs="仿宋_GB2312"/>
          <w:spacing w:val="0"/>
          <w:sz w:val="32"/>
          <w:szCs w:val="32"/>
          <w:lang w:val="en-US" w:eastAsia="zh-CN"/>
        </w:rPr>
        <w:t xml:space="preserve">   无。</w:t>
      </w:r>
    </w:p>
    <w:p w14:paraId="29EBC9A5">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p>
    <w:p w14:paraId="5D9A915B">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附表：1.项目资金分配涉及所有点位自评得分情况表</w:t>
      </w:r>
    </w:p>
    <w:p w14:paraId="32F0E344">
      <w:pPr>
        <w:keepNext w:val="0"/>
        <w:keepLines w:val="0"/>
        <w:pageBreakBefore w:val="0"/>
        <w:widowControl w:val="0"/>
        <w:kinsoku/>
        <w:wordWrap/>
        <w:overflowPunct/>
        <w:topLinePunct w:val="0"/>
        <w:autoSpaceDE/>
        <w:autoSpaceDN/>
        <w:bidi w:val="0"/>
        <w:snapToGrid w:val="0"/>
        <w:spacing w:line="360" w:lineRule="auto"/>
        <w:ind w:firstLine="1600" w:firstLineChars="5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2.专项资金绩效目标完成情况自评表</w:t>
      </w:r>
    </w:p>
    <w:p w14:paraId="51E6F6B7">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_GB2312" w:hAnsi="仿宋_GB2312" w:eastAsia="仿宋_GB2312" w:cs="仿宋_GB2312"/>
          <w:spacing w:val="0"/>
          <w:sz w:val="32"/>
          <w:szCs w:val="32"/>
          <w:lang w:val="zh-CN" w:eastAsia="zh-CN"/>
        </w:rPr>
      </w:pPr>
      <w:r>
        <w:rPr>
          <w:rFonts w:hint="eastAsia" w:ascii="仿宋_GB2312" w:hAnsi="仿宋_GB2312" w:eastAsia="仿宋_GB2312" w:cs="仿宋_GB2312"/>
          <w:spacing w:val="0"/>
          <w:sz w:val="32"/>
          <w:szCs w:val="32"/>
          <w:lang w:val="zh-CN" w:eastAsia="zh-CN"/>
        </w:rPr>
        <w:br w:type="page"/>
      </w:r>
    </w:p>
    <w:p w14:paraId="2ABA0967">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auto"/>
        <w:outlineLvl w:val="1"/>
        <w:rPr>
          <w:rFonts w:hint="eastAsia" w:ascii="黑体" w:hAnsi="黑体" w:eastAsia="黑体" w:cs="黑体"/>
          <w:b w:val="0"/>
          <w:bCs w:val="0"/>
          <w:color w:val="auto"/>
          <w:kern w:val="0"/>
          <w:sz w:val="32"/>
          <w:szCs w:val="32"/>
          <w:highlight w:val="none"/>
          <w:u w:val="none"/>
          <w:shd w:val="clear" w:color="auto" w:fill="FFFFFF"/>
          <w:lang w:val="zh-CN" w:eastAsia="zh-CN"/>
        </w:rPr>
      </w:pPr>
      <w:bookmarkStart w:id="125" w:name="_Toc12479"/>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bookmarkEnd w:id="125"/>
    </w:p>
    <w:p w14:paraId="4F402ED9">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3826"/>
        <w:gridCol w:w="2848"/>
        <w:gridCol w:w="987"/>
      </w:tblGrid>
      <w:tr w14:paraId="71FA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exact"/>
          <w:jc w:val="center"/>
        </w:trPr>
        <w:tc>
          <w:tcPr>
            <w:tcW w:w="1117" w:type="dxa"/>
            <w:vAlign w:val="top"/>
          </w:tcPr>
          <w:p w14:paraId="39E3D4ED">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26" w:type="dxa"/>
            <w:vAlign w:val="top"/>
          </w:tcPr>
          <w:p w14:paraId="4BFAA13D">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48" w:type="dxa"/>
            <w:vAlign w:val="top"/>
          </w:tcPr>
          <w:p w14:paraId="4675D97C">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87" w:type="dxa"/>
            <w:vAlign w:val="top"/>
          </w:tcPr>
          <w:p w14:paraId="55692EB7">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65F8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exact"/>
          <w:jc w:val="center"/>
        </w:trPr>
        <w:tc>
          <w:tcPr>
            <w:tcW w:w="1117" w:type="dxa"/>
            <w:vAlign w:val="top"/>
          </w:tcPr>
          <w:p w14:paraId="39CC8C60">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26" w:type="dxa"/>
            <w:vAlign w:val="top"/>
          </w:tcPr>
          <w:p w14:paraId="79D11EEF">
            <w:pPr>
              <w:keepNext w:val="0"/>
              <w:keepLines w:val="0"/>
              <w:pageBreakBefore w:val="0"/>
              <w:widowControl w:val="0"/>
              <w:kinsoku/>
              <w:wordWrap/>
              <w:overflowPunct/>
              <w:topLinePunct w:val="0"/>
              <w:autoSpaceDE/>
              <w:autoSpaceDN/>
              <w:bidi w:val="0"/>
              <w:adjustRightInd/>
              <w:snapToGrid w:val="0"/>
              <w:spacing w:line="360" w:lineRule="auto"/>
              <w:ind w:left="0" w:leftChars="0"/>
              <w:jc w:val="both"/>
              <w:textAlignment w:val="auto"/>
              <w:outlineLvl w:val="9"/>
              <w:rPr>
                <w:rFonts w:hint="eastAsia" w:ascii="宋体" w:hAnsi="宋体" w:cs="宋体"/>
                <w:color w:val="auto"/>
                <w:sz w:val="24"/>
                <w:szCs w:val="24"/>
                <w:highlight w:val="none"/>
                <w:u w:val="none"/>
                <w:vertAlign w:val="baseline"/>
                <w:lang w:val="en" w:eastAsia="zh-CN"/>
              </w:rPr>
            </w:pPr>
            <w:r>
              <w:rPr>
                <w:rFonts w:hint="eastAsia" w:ascii="宋体" w:hAnsi="宋体" w:cs="宋体"/>
                <w:color w:val="auto"/>
                <w:sz w:val="24"/>
                <w:szCs w:val="24"/>
                <w:highlight w:val="none"/>
                <w:u w:val="none"/>
                <w:vertAlign w:val="baseline"/>
                <w:lang w:val="en" w:eastAsia="zh-CN"/>
              </w:rPr>
              <w:t>遂宁市</w:t>
            </w:r>
            <w:r>
              <w:rPr>
                <w:rFonts w:hint="eastAsia" w:ascii="宋体" w:hAnsi="宋体" w:cs="宋体"/>
                <w:color w:val="auto"/>
                <w:sz w:val="24"/>
                <w:szCs w:val="24"/>
                <w:highlight w:val="none"/>
                <w:u w:val="none"/>
                <w:vertAlign w:val="baseline"/>
                <w:lang w:val="en-US" w:eastAsia="zh-CN"/>
              </w:rPr>
              <w:t>职业技术</w:t>
            </w:r>
            <w:r>
              <w:rPr>
                <w:rFonts w:hint="eastAsia" w:ascii="宋体" w:hAnsi="宋体" w:cs="宋体"/>
                <w:color w:val="auto"/>
                <w:sz w:val="24"/>
                <w:szCs w:val="24"/>
                <w:highlight w:val="none"/>
                <w:u w:val="none"/>
                <w:vertAlign w:val="baseline"/>
                <w:lang w:val="en" w:eastAsia="zh-CN"/>
              </w:rPr>
              <w:t>学校</w:t>
            </w:r>
          </w:p>
        </w:tc>
        <w:tc>
          <w:tcPr>
            <w:tcW w:w="2848" w:type="dxa"/>
            <w:vAlign w:val="top"/>
          </w:tcPr>
          <w:p w14:paraId="5274695A">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90</w:t>
            </w:r>
          </w:p>
          <w:p w14:paraId="235D6AED">
            <w:pPr>
              <w:pStyle w:val="26"/>
              <w:pageBreakBefore w:val="0"/>
              <w:kinsoku/>
              <w:wordWrap/>
              <w:overflowPunct/>
              <w:topLinePunct w:val="0"/>
              <w:autoSpaceDE/>
              <w:autoSpaceDN/>
              <w:bidi w:val="0"/>
              <w:snapToGrid w:val="0"/>
              <w:spacing w:line="360" w:lineRule="auto"/>
              <w:rPr>
                <w:rFonts w:hint="default"/>
                <w:lang w:val="en-US" w:eastAsia="zh-CN"/>
              </w:rPr>
            </w:pPr>
          </w:p>
        </w:tc>
        <w:tc>
          <w:tcPr>
            <w:tcW w:w="987" w:type="dxa"/>
            <w:vAlign w:val="top"/>
          </w:tcPr>
          <w:p w14:paraId="05096D8F">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8DB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1117" w:type="dxa"/>
            <w:vAlign w:val="top"/>
          </w:tcPr>
          <w:p w14:paraId="7DCD8FAC">
            <w:pPr>
              <w:keepNext w:val="0"/>
              <w:keepLines w:val="0"/>
              <w:pageBreakBefore w:val="0"/>
              <w:widowControl w:val="0"/>
              <w:kinsoku/>
              <w:wordWrap/>
              <w:overflowPunct/>
              <w:topLinePunct w:val="0"/>
              <w:autoSpaceDE/>
              <w:autoSpaceDN/>
              <w:bidi w:val="0"/>
              <w:adjustRightInd/>
              <w:snapToGrid w:val="0"/>
              <w:spacing w:line="360" w:lineRule="auto"/>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26" w:type="dxa"/>
            <w:vAlign w:val="top"/>
          </w:tcPr>
          <w:p w14:paraId="64AD5000">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48" w:type="dxa"/>
            <w:vAlign w:val="top"/>
          </w:tcPr>
          <w:p w14:paraId="005FC21E">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87" w:type="dxa"/>
            <w:vAlign w:val="top"/>
          </w:tcPr>
          <w:p w14:paraId="717F85E1">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4E4EAA8C">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2623DD8B">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E17843F">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C166C76">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BE5EC4B">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B75C856">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4906F877">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C8D21DF">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255DB896">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CA9D77D">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0B786EF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E7C4E49">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5D4160FD">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4E2B6B0">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75CE46A2">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49C5211">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3DCB76DB">
      <w:pPr>
        <w:pageBreakBefore w:val="0"/>
        <w:kinsoku/>
        <w:wordWrap/>
        <w:overflowPunct/>
        <w:topLinePunct w:val="0"/>
        <w:autoSpaceDE/>
        <w:autoSpaceDN/>
        <w:bidi w:val="0"/>
        <w:snapToGrid w:val="0"/>
        <w:spacing w:line="360" w:lineRule="auto"/>
        <w:rPr>
          <w:rFonts w:hint="default" w:ascii="Times New Roman" w:hAnsi="Times New Roman" w:eastAsia="黑体" w:cs="Times New Roman"/>
          <w:kern w:val="2"/>
          <w:sz w:val="32"/>
          <w:szCs w:val="24"/>
          <w:highlight w:val="none"/>
          <w:lang w:val="en-US" w:eastAsia="zh-CN" w:bidi="ar-SA"/>
        </w:rPr>
      </w:pPr>
    </w:p>
    <w:p w14:paraId="12809DA1">
      <w:pPr>
        <w:pageBreakBefore w:val="0"/>
        <w:kinsoku/>
        <w:wordWrap/>
        <w:overflowPunct/>
        <w:topLinePunct w:val="0"/>
        <w:autoSpaceDE/>
        <w:autoSpaceDN/>
        <w:bidi w:val="0"/>
        <w:snapToGrid w:val="0"/>
        <w:spacing w:line="360" w:lineRule="auto"/>
        <w:outlineLvl w:val="1"/>
        <w:rPr>
          <w:rFonts w:hint="default" w:ascii="Times New Roman" w:hAnsi="Times New Roman" w:eastAsia="黑体" w:cs="Times New Roman"/>
          <w:kern w:val="2"/>
          <w:sz w:val="32"/>
          <w:szCs w:val="24"/>
          <w:highlight w:val="none"/>
          <w:lang w:val="en-US" w:eastAsia="zh-CN" w:bidi="ar-SA"/>
        </w:rPr>
      </w:pPr>
      <w:bookmarkStart w:id="126" w:name="_Toc32548"/>
      <w:r>
        <w:rPr>
          <w:rFonts w:hint="default" w:ascii="Times New Roman" w:hAnsi="Times New Roman" w:eastAsia="黑体" w:cs="Times New Roman"/>
          <w:kern w:val="2"/>
          <w:sz w:val="32"/>
          <w:szCs w:val="24"/>
          <w:highlight w:val="none"/>
          <w:lang w:val="en-US" w:eastAsia="zh-CN" w:bidi="ar-SA"/>
        </w:rPr>
        <w:t>附表2</w:t>
      </w:r>
      <w:bookmarkEnd w:id="126"/>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20"/>
        <w:gridCol w:w="1081"/>
        <w:gridCol w:w="1083"/>
        <w:gridCol w:w="1141"/>
        <w:gridCol w:w="974"/>
        <w:gridCol w:w="840"/>
        <w:gridCol w:w="922"/>
        <w:gridCol w:w="812"/>
        <w:gridCol w:w="1607"/>
      </w:tblGrid>
      <w:tr w14:paraId="4338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jc w:val="center"/>
        </w:trPr>
        <w:tc>
          <w:tcPr>
            <w:tcW w:w="8880" w:type="dxa"/>
            <w:gridSpan w:val="9"/>
            <w:shd w:val="clear" w:color="auto" w:fill="auto"/>
            <w:vAlign w:val="center"/>
          </w:tcPr>
          <w:p w14:paraId="5AE47E6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专项资金绩效目标完成情况自评表</w:t>
            </w:r>
          </w:p>
        </w:tc>
      </w:tr>
      <w:tr w14:paraId="0369F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1F190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项目名称</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E10B4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支持中等职业教育发展资金</w:t>
            </w:r>
          </w:p>
        </w:tc>
      </w:tr>
      <w:tr w14:paraId="687F5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147C6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9E7311">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遂宁市</w:t>
            </w:r>
            <w:r>
              <w:rPr>
                <w:rFonts w:hint="eastAsia" w:ascii="宋体" w:hAnsi="宋体" w:eastAsia="宋体" w:cs="宋体"/>
                <w:i w:val="0"/>
                <w:color w:val="000000"/>
                <w:sz w:val="24"/>
                <w:szCs w:val="24"/>
                <w:u w:val="none"/>
                <w:lang w:val="en-US" w:eastAsia="zh-CN"/>
              </w:rPr>
              <w:t>职业技术学校</w:t>
            </w:r>
          </w:p>
        </w:tc>
      </w:tr>
      <w:tr w14:paraId="10DF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2" w:hRule="atLeast"/>
          <w:jc w:val="center"/>
        </w:trPr>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6B935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04E8AF">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auto"/>
                <w:sz w:val="24"/>
                <w:szCs w:val="24"/>
                <w:u w:val="none"/>
                <w:lang w:val="en-US" w:eastAsia="zh-CN"/>
              </w:rPr>
              <w:t>民生保障</w:t>
            </w:r>
          </w:p>
        </w:tc>
      </w:tr>
      <w:tr w14:paraId="4ADE7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2" w:hRule="atLeast"/>
          <w:jc w:val="center"/>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8CC0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EF9B2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72D2C3B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975D3D">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034E0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116C">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80156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3218D8">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rPr>
            </w:pPr>
          </w:p>
        </w:tc>
      </w:tr>
      <w:tr w14:paraId="4DE24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BFCEB">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04328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90C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26C9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8FA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639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2B3AF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B0B8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57088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6A9B3F">
            <w:pPr>
              <w:keepNext w:val="0"/>
              <w:keepLines w:val="0"/>
              <w:pageBreakBefore w:val="0"/>
              <w:kinsoku/>
              <w:wordWrap/>
              <w:overflowPunct/>
              <w:topLinePunct w:val="0"/>
              <w:autoSpaceDE/>
              <w:autoSpaceDN/>
              <w:bidi w:val="0"/>
              <w:adjustRightInd/>
              <w:snapToGrid w:val="0"/>
              <w:spacing w:line="360" w:lineRule="auto"/>
              <w:ind w:left="0" w:leftChars="0"/>
              <w:jc w:val="left"/>
              <w:rPr>
                <w:rFonts w:hint="eastAsia" w:ascii="宋体" w:hAnsi="宋体" w:eastAsia="宋体" w:cs="宋体"/>
                <w:i w:val="0"/>
                <w:color w:val="000000"/>
                <w:sz w:val="24"/>
                <w:szCs w:val="24"/>
                <w:u w:val="none"/>
                <w:lang w:eastAsia="zh-CN"/>
              </w:rPr>
            </w:pPr>
          </w:p>
        </w:tc>
      </w:tr>
      <w:tr w14:paraId="1237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89C31">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A6F1A">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使用范围</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EA5858">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保障“9+3”学生顺利完成学业、改善办学条件、加强培养职业教育高素质教师等</w:t>
            </w:r>
          </w:p>
        </w:tc>
      </w:tr>
      <w:tr w14:paraId="35AA2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6F370">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015EB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ECF918">
            <w:pPr>
              <w:keepNext w:val="0"/>
              <w:keepLines w:val="0"/>
              <w:pageBreakBefore w:val="0"/>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职业教育学校</w:t>
            </w:r>
          </w:p>
        </w:tc>
      </w:tr>
      <w:tr w14:paraId="53AC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10A0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434DA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EDE5DD">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长期</w:t>
            </w:r>
          </w:p>
        </w:tc>
      </w:tr>
      <w:tr w14:paraId="34FC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150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03349">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661703E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BE54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0E66A4">
            <w:pPr>
              <w:keepNext w:val="0"/>
              <w:keepLines w:val="0"/>
              <w:pageBreakBefore w:val="0"/>
              <w:tabs>
                <w:tab w:val="left" w:pos="2001"/>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1641.86</w:t>
            </w:r>
          </w:p>
        </w:tc>
      </w:tr>
      <w:tr w14:paraId="1F9C0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jc w:val="center"/>
        </w:trPr>
        <w:tc>
          <w:tcPr>
            <w:tcW w:w="150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EF87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48EA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D4C878">
            <w:pPr>
              <w:keepNext w:val="0"/>
              <w:keepLines w:val="0"/>
              <w:pageBreakBefore w:val="0"/>
              <w:tabs>
                <w:tab w:val="left" w:pos="2382"/>
              </w:tabs>
              <w:kinsoku/>
              <w:wordWrap/>
              <w:overflowPunct/>
              <w:topLinePunct w:val="0"/>
              <w:autoSpaceDE/>
              <w:autoSpaceDN/>
              <w:bidi w:val="0"/>
              <w:adjustRightInd/>
              <w:snapToGrid w:val="0"/>
              <w:spacing w:line="360" w:lineRule="auto"/>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 xml:space="preserve">                 1641.86</w:t>
            </w:r>
          </w:p>
        </w:tc>
      </w:tr>
      <w:tr w14:paraId="4A32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jc w:val="center"/>
        </w:trPr>
        <w:tc>
          <w:tcPr>
            <w:tcW w:w="150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8E5D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2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953B3">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A0B15E">
            <w:pPr>
              <w:keepNext w:val="0"/>
              <w:keepLines w:val="0"/>
              <w:pageBreakBefore w:val="0"/>
              <w:kinsoku/>
              <w:wordWrap/>
              <w:overflowPunct/>
              <w:topLinePunct w:val="0"/>
              <w:autoSpaceDE/>
              <w:autoSpaceDN/>
              <w:bidi w:val="0"/>
              <w:adjustRightInd/>
              <w:snapToGrid w:val="0"/>
              <w:spacing w:line="360" w:lineRule="auto"/>
              <w:ind w:left="0" w:leftChars="0"/>
              <w:jc w:val="right"/>
              <w:rPr>
                <w:rFonts w:hint="eastAsia" w:ascii="宋体" w:hAnsi="宋体" w:eastAsia="宋体" w:cs="宋体"/>
                <w:i w:val="0"/>
                <w:color w:val="000000"/>
                <w:sz w:val="24"/>
                <w:szCs w:val="24"/>
                <w:u w:val="none"/>
              </w:rPr>
            </w:pPr>
          </w:p>
        </w:tc>
      </w:tr>
      <w:tr w14:paraId="74259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1F8D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84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09C8017">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2836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2"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82156">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84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18CCC7">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保障“9+3”学生顺利完成学业、提升学校办学质量、保障学校工作顺利开展</w:t>
            </w:r>
            <w:r>
              <w:rPr>
                <w:rFonts w:hint="eastAsia" w:ascii="宋体" w:hAnsi="宋体" w:eastAsia="宋体" w:cs="宋体"/>
                <w:i w:val="0"/>
                <w:color w:val="000000"/>
                <w:sz w:val="24"/>
                <w:szCs w:val="24"/>
                <w:u w:val="none"/>
              </w:rPr>
              <w:t>。</w:t>
            </w:r>
          </w:p>
        </w:tc>
      </w:tr>
      <w:tr w14:paraId="71933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jc w:val="center"/>
        </w:trPr>
        <w:tc>
          <w:tcPr>
            <w:tcW w:w="4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22C22E">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auto" w:sz="4" w:space="0"/>
              <w:left w:val="single" w:color="auto" w:sz="4" w:space="0"/>
              <w:bottom w:val="single" w:color="auto" w:sz="4" w:space="0"/>
              <w:right w:val="single" w:color="auto" w:sz="4" w:space="0"/>
            </w:tcBorders>
            <w:shd w:val="clear" w:color="auto" w:fill="auto"/>
            <w:vAlign w:val="center"/>
          </w:tcPr>
          <w:p w14:paraId="0C0747F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2CE4CF1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595770A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40E1C40F">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A22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ED4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7416">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6CE5">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249F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2" w:hRule="atLeast"/>
          <w:jc w:val="center"/>
        </w:trPr>
        <w:tc>
          <w:tcPr>
            <w:tcW w:w="4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91BAE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566B1B">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AA8AF0">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2C482455">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9+3学生资助率</w:t>
            </w: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191C752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5DB7">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1E0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569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7FB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2C67E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2" w:hRule="atLeast"/>
          <w:jc w:val="center"/>
        </w:trPr>
        <w:tc>
          <w:tcPr>
            <w:tcW w:w="4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5CB6B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C3BD3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AD9CB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2DCF3335">
            <w:pPr>
              <w:keepNext w:val="0"/>
              <w:keepLines w:val="0"/>
              <w:pageBreakBefore w:val="0"/>
              <w:kinsoku/>
              <w:wordWrap/>
              <w:overflowPunct/>
              <w:topLinePunct w:val="0"/>
              <w:autoSpaceDE/>
              <w:autoSpaceDN/>
              <w:bidi w:val="0"/>
              <w:adjustRightInd/>
              <w:snapToGrid w:val="0"/>
              <w:spacing w:line="360" w:lineRule="auto"/>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各项目推进率</w:t>
            </w: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5ED3590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ADC4">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408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43AC">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654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089D9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4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ADCC0A">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5F7D76">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B28BBA">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34383415">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项目</w:t>
            </w:r>
            <w:r>
              <w:rPr>
                <w:rFonts w:hint="eastAsia" w:ascii="宋体" w:hAnsi="宋体" w:eastAsia="宋体" w:cs="宋体"/>
                <w:i w:val="0"/>
                <w:color w:val="000000"/>
                <w:sz w:val="24"/>
                <w:szCs w:val="24"/>
                <w:u w:val="none"/>
              </w:rPr>
              <w:t>质量</w:t>
            </w: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3E5B4945">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05B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BDB3">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5800">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BB1E">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224D0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4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8C52D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31664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78DBED">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1CF17EE2">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3EA72900">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933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38F9">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15E2">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1AC8">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r>
      <w:tr w14:paraId="671C3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2" w:hRule="atLeast"/>
          <w:jc w:val="center"/>
        </w:trPr>
        <w:tc>
          <w:tcPr>
            <w:tcW w:w="4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9A7C1B">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5EBD11">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190EFDB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26EE3C94">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建设</w:t>
            </w:r>
            <w:r>
              <w:rPr>
                <w:rFonts w:hint="eastAsia" w:ascii="宋体" w:hAnsi="宋体" w:eastAsia="宋体" w:cs="宋体"/>
                <w:i w:val="0"/>
                <w:color w:val="000000"/>
                <w:sz w:val="24"/>
                <w:szCs w:val="24"/>
                <w:u w:val="none"/>
              </w:rPr>
              <w:t>时效</w:t>
            </w: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62AC5A7C">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7EED">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66B4">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4BBF">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53DC">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167C0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17" w:hRule="atLeast"/>
          <w:jc w:val="center"/>
        </w:trPr>
        <w:tc>
          <w:tcPr>
            <w:tcW w:w="4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994557">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auto" w:sz="4" w:space="0"/>
              <w:bottom w:val="single" w:color="auto" w:sz="4" w:space="0"/>
              <w:right w:val="single" w:color="auto" w:sz="4" w:space="0"/>
            </w:tcBorders>
            <w:shd w:val="clear" w:color="auto" w:fill="auto"/>
            <w:vAlign w:val="center"/>
          </w:tcPr>
          <w:p w14:paraId="2BBFDEED">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5E0BE681">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59FB62AC">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46E9C398">
            <w:pPr>
              <w:keepNext w:val="0"/>
              <w:keepLines w:val="0"/>
              <w:pageBreakBefore w:val="0"/>
              <w:widowControl/>
              <w:suppressLineNumbers w:val="0"/>
              <w:kinsoku/>
              <w:wordWrap/>
              <w:overflowPunct/>
              <w:topLinePunct w:val="0"/>
              <w:autoSpaceDE/>
              <w:autoSpaceDN/>
              <w:bidi w:val="0"/>
              <w:adjustRightInd/>
              <w:snapToGrid w:val="0"/>
              <w:spacing w:line="360" w:lineRule="auto"/>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14:paraId="00318A43">
            <w:pPr>
              <w:keepNext w:val="0"/>
              <w:keepLines w:val="0"/>
              <w:pageBreakBefore w:val="0"/>
              <w:kinsoku/>
              <w:wordWrap/>
              <w:overflowPunct/>
              <w:topLinePunct w:val="0"/>
              <w:autoSpaceDE/>
              <w:autoSpaceDN/>
              <w:bidi w:val="0"/>
              <w:adjustRightInd/>
              <w:snapToGrid w:val="0"/>
              <w:spacing w:line="360" w:lineRule="auto"/>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满意度</w:t>
            </w:r>
          </w:p>
        </w:tc>
        <w:tc>
          <w:tcPr>
            <w:tcW w:w="974" w:type="dxa"/>
            <w:tcBorders>
              <w:top w:val="single" w:color="000000" w:sz="4" w:space="0"/>
              <w:left w:val="single" w:color="auto" w:sz="4" w:space="0"/>
              <w:bottom w:val="single" w:color="000000" w:sz="4" w:space="0"/>
              <w:right w:val="single" w:color="000000" w:sz="4" w:space="0"/>
            </w:tcBorders>
            <w:shd w:val="clear" w:color="auto" w:fill="auto"/>
            <w:vAlign w:val="center"/>
          </w:tcPr>
          <w:p w14:paraId="32392AA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1319">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2FFE">
            <w:pPr>
              <w:keepNext w:val="0"/>
              <w:keepLines w:val="0"/>
              <w:pageBreakBefore w:val="0"/>
              <w:kinsoku/>
              <w:wordWrap/>
              <w:overflowPunct/>
              <w:topLinePunct w:val="0"/>
              <w:autoSpaceDE/>
              <w:autoSpaceDN/>
              <w:bidi w:val="0"/>
              <w:adjustRightInd/>
              <w:snapToGrid w:val="0"/>
              <w:spacing w:line="360" w:lineRule="auto"/>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8C66">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E7EB">
            <w:pPr>
              <w:keepNext w:val="0"/>
              <w:keepLines w:val="0"/>
              <w:pageBreakBefore w:val="0"/>
              <w:kinsoku/>
              <w:wordWrap/>
              <w:overflowPunct/>
              <w:topLinePunct w:val="0"/>
              <w:autoSpaceDE/>
              <w:autoSpaceDN/>
              <w:bidi w:val="0"/>
              <w:adjustRightInd/>
              <w:snapToGrid w:val="0"/>
              <w:spacing w:line="360" w:lineRule="auto"/>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bl>
    <w:p w14:paraId="3576F80F">
      <w:pPr>
        <w:pStyle w:val="14"/>
        <w:keepNext w:val="0"/>
        <w:keepLines w:val="0"/>
        <w:pageBreakBefore w:val="0"/>
        <w:kinsoku/>
        <w:wordWrap/>
        <w:overflowPunct/>
        <w:topLinePunct w:val="0"/>
        <w:autoSpaceDE/>
        <w:autoSpaceDN/>
        <w:bidi w:val="0"/>
        <w:snapToGrid w:val="0"/>
        <w:spacing w:after="0" w:line="360" w:lineRule="auto"/>
        <w:ind w:left="0" w:leftChars="0"/>
        <w:rPr>
          <w:rFonts w:hint="default" w:ascii="黑体" w:hAnsi="黑体" w:eastAsia="黑体" w:cs="黑体"/>
          <w:sz w:val="24"/>
          <w:szCs w:val="24"/>
          <w:highlight w:val="none"/>
          <w:lang w:val="en-US" w:eastAsia="zh-CN"/>
        </w:rPr>
      </w:pPr>
    </w:p>
    <w:p w14:paraId="2CFF018B">
      <w:pPr>
        <w:pStyle w:val="6"/>
        <w:pageBreakBefore w:val="0"/>
        <w:kinsoku/>
        <w:wordWrap/>
        <w:overflowPunct/>
        <w:topLinePunct w:val="0"/>
        <w:autoSpaceDE/>
        <w:autoSpaceDN/>
        <w:bidi w:val="0"/>
        <w:snapToGrid w:val="0"/>
        <w:spacing w:beforeLines="0" w:line="360" w:lineRule="auto"/>
        <w:rPr>
          <w:rFonts w:hint="eastAsia" w:ascii="Times New Roman" w:hAnsi="Times New Roman" w:eastAsia="黑体" w:cs="黑体"/>
          <w:color w:val="auto"/>
          <w:sz w:val="32"/>
          <w:szCs w:val="32"/>
          <w:highlight w:val="none"/>
          <w:lang w:val="en-US" w:eastAsia="zh-CN"/>
        </w:rPr>
      </w:pPr>
    </w:p>
    <w:p w14:paraId="6EEB9233">
      <w:pPr>
        <w:pStyle w:val="34"/>
        <w:keepNext w:val="0"/>
        <w:keepLines w:val="0"/>
        <w:pageBreakBefore w:val="0"/>
        <w:widowControl w:val="0"/>
        <w:kinsoku/>
        <w:wordWrap/>
        <w:overflowPunct/>
        <w:topLinePunct w:val="0"/>
        <w:autoSpaceDE/>
        <w:autoSpaceDN/>
        <w:bidi w:val="0"/>
        <w:snapToGrid w:val="0"/>
        <w:spacing w:line="36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265DDB63">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bookmarkStart w:id="127" w:name="_Toc15396618"/>
    </w:p>
    <w:p w14:paraId="4ED45387">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092BA1D5">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4E5D1FFC">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01552592">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2CCCB741">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0B2228AD">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1FFD16D0">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1DA2684F">
      <w:pPr>
        <w:pageBreakBefore w:val="0"/>
        <w:widowControl w:val="0"/>
        <w:kinsoku/>
        <w:wordWrap/>
        <w:overflowPunct/>
        <w:topLinePunct w:val="0"/>
        <w:autoSpaceDE/>
        <w:autoSpaceDN/>
        <w:bidi w:val="0"/>
        <w:snapToGrid w:val="0"/>
        <w:spacing w:line="360" w:lineRule="auto"/>
        <w:ind w:firstLine="640"/>
        <w:jc w:val="left"/>
        <w:outlineLvl w:val="9"/>
        <w:rPr>
          <w:rFonts w:hint="eastAsia" w:ascii="Times New Roman" w:hAnsi="Times New Roman" w:eastAsia="黑体"/>
          <w:color w:val="auto"/>
          <w:sz w:val="44"/>
          <w:szCs w:val="44"/>
          <w:highlight w:val="none"/>
        </w:rPr>
      </w:pPr>
    </w:p>
    <w:p w14:paraId="20D497DA">
      <w:pPr>
        <w:pStyle w:val="2"/>
        <w:rPr>
          <w:rFonts w:hint="eastAsia"/>
        </w:rPr>
      </w:pPr>
    </w:p>
    <w:p w14:paraId="0878D74B">
      <w:pPr>
        <w:pageBreakBefore w:val="0"/>
        <w:widowControl w:val="0"/>
        <w:kinsoku/>
        <w:wordWrap/>
        <w:overflowPunct/>
        <w:topLinePunct w:val="0"/>
        <w:autoSpaceDE/>
        <w:autoSpaceDN/>
        <w:bidi w:val="0"/>
        <w:snapToGrid w:val="0"/>
        <w:spacing w:line="360" w:lineRule="auto"/>
        <w:ind w:firstLine="640" w:firstLineChars="0"/>
        <w:jc w:val="left"/>
        <w:outlineLvl w:val="0"/>
        <w:rPr>
          <w:rFonts w:hint="eastAsia" w:ascii="Times New Roman" w:hAnsi="Times New Roman" w:eastAsia="仿宋"/>
          <w:b w:val="0"/>
          <w:color w:val="auto"/>
          <w:highlight w:val="none"/>
        </w:rPr>
      </w:pPr>
      <w:bookmarkStart w:id="128" w:name="_Toc6565"/>
      <w:r>
        <w:rPr>
          <w:rFonts w:hint="eastAsia" w:ascii="Times New Roman" w:hAnsi="Times New Roman" w:eastAsia="黑体"/>
          <w:color w:val="auto"/>
          <w:sz w:val="44"/>
          <w:szCs w:val="44"/>
          <w:highlight w:val="none"/>
        </w:rPr>
        <w:t>第</w:t>
      </w:r>
      <w:r>
        <w:rPr>
          <w:rStyle w:val="25"/>
          <w:rFonts w:hint="eastAsia" w:ascii="Times New Roman" w:hAnsi="Times New Roman" w:eastAsia="黑体"/>
          <w:b w:val="0"/>
          <w:color w:val="auto"/>
          <w:highlight w:val="none"/>
        </w:rPr>
        <w:t>五部分 附表</w:t>
      </w:r>
      <w:bookmarkEnd w:id="83"/>
      <w:bookmarkEnd w:id="127"/>
      <w:bookmarkEnd w:id="128"/>
      <w:bookmarkStart w:id="129" w:name="_Toc15396619"/>
    </w:p>
    <w:p w14:paraId="43150CA0">
      <w:pPr>
        <w:pStyle w:val="15"/>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仿宋_GB2312" w:cs="仿宋_GB2312"/>
          <w:color w:val="auto"/>
          <w:sz w:val="32"/>
          <w:szCs w:val="32"/>
          <w:highlight w:val="none"/>
        </w:rPr>
      </w:pPr>
    </w:p>
    <w:p w14:paraId="7D091009">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30" w:name="_Toc12933"/>
      <w:r>
        <w:rPr>
          <w:rFonts w:hint="eastAsia" w:ascii="Times New Roman" w:hAnsi="Times New Roman" w:eastAsia="仿宋_GB2312" w:cs="仿宋_GB2312"/>
          <w:color w:val="auto"/>
          <w:sz w:val="32"/>
          <w:szCs w:val="32"/>
          <w:highlight w:val="none"/>
        </w:rPr>
        <w:t>一、收入支出决算总表</w:t>
      </w:r>
      <w:bookmarkEnd w:id="129"/>
      <w:bookmarkEnd w:id="130"/>
    </w:p>
    <w:p w14:paraId="31AA62F8">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31" w:name="_Toc625"/>
      <w:bookmarkStart w:id="132" w:name="_Toc15396620"/>
      <w:r>
        <w:rPr>
          <w:rFonts w:hint="eastAsia" w:ascii="Times New Roman" w:hAnsi="Times New Roman" w:eastAsia="仿宋_GB2312" w:cs="仿宋_GB2312"/>
          <w:color w:val="auto"/>
          <w:sz w:val="32"/>
          <w:szCs w:val="32"/>
          <w:highlight w:val="none"/>
        </w:rPr>
        <w:t>二、收入决算表</w:t>
      </w:r>
      <w:bookmarkEnd w:id="131"/>
      <w:bookmarkEnd w:id="132"/>
    </w:p>
    <w:p w14:paraId="0B151A83">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33" w:name="_Toc2037"/>
      <w:bookmarkStart w:id="134" w:name="_Toc15396621"/>
      <w:r>
        <w:rPr>
          <w:rFonts w:hint="eastAsia" w:ascii="Times New Roman" w:hAnsi="Times New Roman" w:eastAsia="仿宋_GB2312" w:cs="仿宋_GB2312"/>
          <w:color w:val="auto"/>
          <w:sz w:val="32"/>
          <w:szCs w:val="32"/>
          <w:highlight w:val="none"/>
        </w:rPr>
        <w:t>三、支出决算表</w:t>
      </w:r>
      <w:bookmarkEnd w:id="133"/>
      <w:bookmarkEnd w:id="134"/>
    </w:p>
    <w:p w14:paraId="464EE561">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35" w:name="_Toc2234"/>
      <w:bookmarkStart w:id="136" w:name="_Toc15396622"/>
      <w:r>
        <w:rPr>
          <w:rFonts w:hint="eastAsia" w:ascii="Times New Roman" w:hAnsi="Times New Roman" w:eastAsia="仿宋_GB2312" w:cs="仿宋_GB2312"/>
          <w:color w:val="auto"/>
          <w:sz w:val="32"/>
          <w:szCs w:val="32"/>
          <w:highlight w:val="none"/>
        </w:rPr>
        <w:t>四、财政拨款收入支出决算总表</w:t>
      </w:r>
      <w:bookmarkEnd w:id="135"/>
      <w:bookmarkEnd w:id="136"/>
    </w:p>
    <w:p w14:paraId="0ED0D18E">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37" w:name="_Toc15396623"/>
      <w:bookmarkStart w:id="138" w:name="_Toc16108"/>
      <w:r>
        <w:rPr>
          <w:rFonts w:hint="eastAsia" w:ascii="Times New Roman" w:hAnsi="Times New Roman" w:eastAsia="仿宋_GB2312" w:cs="仿宋_GB2312"/>
          <w:color w:val="auto"/>
          <w:sz w:val="32"/>
          <w:szCs w:val="32"/>
          <w:highlight w:val="none"/>
        </w:rPr>
        <w:t>五、财政拨款支出决算明细表</w:t>
      </w:r>
      <w:bookmarkEnd w:id="137"/>
      <w:bookmarkEnd w:id="138"/>
      <w:bookmarkStart w:id="139" w:name="_Toc15396624"/>
    </w:p>
    <w:p w14:paraId="594A8E2F">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40" w:name="_Toc28041"/>
      <w:r>
        <w:rPr>
          <w:rFonts w:hint="eastAsia" w:ascii="Times New Roman" w:hAnsi="Times New Roman" w:eastAsia="仿宋_GB2312" w:cs="仿宋_GB2312"/>
          <w:color w:val="auto"/>
          <w:sz w:val="32"/>
          <w:szCs w:val="32"/>
          <w:highlight w:val="none"/>
        </w:rPr>
        <w:t>六、一般公共预算财政拨款支出决算表</w:t>
      </w:r>
      <w:bookmarkEnd w:id="139"/>
      <w:bookmarkEnd w:id="140"/>
    </w:p>
    <w:p w14:paraId="38451EB6">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41" w:name="_Toc15879"/>
      <w:bookmarkStart w:id="142" w:name="_Toc15396625"/>
      <w:r>
        <w:rPr>
          <w:rFonts w:hint="eastAsia" w:ascii="Times New Roman" w:hAnsi="Times New Roman" w:eastAsia="仿宋_GB2312" w:cs="仿宋_GB2312"/>
          <w:color w:val="auto"/>
          <w:sz w:val="32"/>
          <w:szCs w:val="32"/>
          <w:highlight w:val="none"/>
        </w:rPr>
        <w:t>七、一般公共预算财政拨款支出决算明细表</w:t>
      </w:r>
      <w:bookmarkEnd w:id="141"/>
      <w:bookmarkEnd w:id="142"/>
    </w:p>
    <w:p w14:paraId="359BB8B8">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43" w:name="_Toc1980"/>
      <w:bookmarkStart w:id="144" w:name="_Toc15396626"/>
      <w:r>
        <w:rPr>
          <w:rFonts w:hint="eastAsia" w:ascii="Times New Roman" w:hAnsi="Times New Roman" w:eastAsia="仿宋_GB2312" w:cs="仿宋_GB2312"/>
          <w:color w:val="auto"/>
          <w:sz w:val="32"/>
          <w:szCs w:val="32"/>
          <w:highlight w:val="none"/>
        </w:rPr>
        <w:t>八、一般公共预算财政拨款基本支出决算表</w:t>
      </w:r>
      <w:bookmarkEnd w:id="143"/>
      <w:bookmarkEnd w:id="144"/>
    </w:p>
    <w:p w14:paraId="7FC0390F">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45" w:name="_Toc18565"/>
      <w:bookmarkStart w:id="146" w:name="_Toc15396627"/>
      <w:r>
        <w:rPr>
          <w:rFonts w:hint="eastAsia" w:ascii="Times New Roman" w:hAnsi="Times New Roman" w:eastAsia="仿宋_GB2312" w:cs="仿宋_GB2312"/>
          <w:color w:val="auto"/>
          <w:sz w:val="32"/>
          <w:szCs w:val="32"/>
          <w:highlight w:val="none"/>
        </w:rPr>
        <w:t>九、一般公共预算财政拨款项目支出决算表</w:t>
      </w:r>
      <w:bookmarkEnd w:id="145"/>
      <w:bookmarkEnd w:id="146"/>
    </w:p>
    <w:p w14:paraId="3C7686E5">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47" w:name="_Toc15396628"/>
      <w:bookmarkStart w:id="148" w:name="_Toc32287"/>
      <w:r>
        <w:rPr>
          <w:rFonts w:hint="eastAsia" w:ascii="Times New Roman" w:hAnsi="Times New Roman" w:eastAsia="仿宋_GB2312" w:cs="仿宋_GB2312"/>
          <w:color w:val="auto"/>
          <w:sz w:val="32"/>
          <w:szCs w:val="32"/>
          <w:highlight w:val="none"/>
        </w:rPr>
        <w:t>十、</w:t>
      </w:r>
      <w:bookmarkEnd w:id="147"/>
      <w:r>
        <w:rPr>
          <w:rFonts w:hint="eastAsia" w:ascii="Times New Roman" w:hAnsi="Times New Roman" w:eastAsia="仿宋_GB2312" w:cs="仿宋_GB2312"/>
          <w:color w:val="auto"/>
          <w:sz w:val="32"/>
          <w:szCs w:val="32"/>
          <w:highlight w:val="none"/>
        </w:rPr>
        <w:t>政府性基金预算财政拨款收入支出决算表</w:t>
      </w:r>
      <w:bookmarkEnd w:id="148"/>
    </w:p>
    <w:p w14:paraId="4F0D6756">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49" w:name="_Toc15396629"/>
      <w:bookmarkStart w:id="150" w:name="_Toc16478"/>
      <w:r>
        <w:rPr>
          <w:rFonts w:hint="eastAsia" w:ascii="Times New Roman" w:hAnsi="Times New Roman" w:eastAsia="仿宋_GB2312" w:cs="仿宋_GB2312"/>
          <w:color w:val="auto"/>
          <w:sz w:val="32"/>
          <w:szCs w:val="32"/>
          <w:highlight w:val="none"/>
        </w:rPr>
        <w:t>十一、</w:t>
      </w:r>
      <w:bookmarkEnd w:id="149"/>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bookmarkEnd w:id="150"/>
    </w:p>
    <w:p w14:paraId="56EDD324">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rPr>
      </w:pPr>
      <w:bookmarkStart w:id="151" w:name="_Toc15396630"/>
      <w:bookmarkStart w:id="152" w:name="_Toc12200"/>
      <w:r>
        <w:rPr>
          <w:rFonts w:hint="eastAsia" w:ascii="Times New Roman" w:hAnsi="Times New Roman" w:eastAsia="仿宋_GB2312" w:cs="仿宋_GB2312"/>
          <w:color w:val="auto"/>
          <w:sz w:val="32"/>
          <w:szCs w:val="32"/>
          <w:highlight w:val="none"/>
        </w:rPr>
        <w:t>十二、</w:t>
      </w:r>
      <w:bookmarkEnd w:id="151"/>
      <w:r>
        <w:rPr>
          <w:rFonts w:hint="eastAsia" w:ascii="Times New Roman" w:hAnsi="Times New Roman" w:eastAsia="仿宋_GB2312" w:cs="仿宋_GB2312"/>
          <w:color w:val="auto"/>
          <w:sz w:val="32"/>
          <w:szCs w:val="32"/>
          <w:highlight w:val="none"/>
          <w:lang w:eastAsia="zh-CN"/>
        </w:rPr>
        <w:t>国有资本经营预算财政拨款支出决算表</w:t>
      </w:r>
      <w:bookmarkEnd w:id="152"/>
    </w:p>
    <w:p w14:paraId="51DFAAFB">
      <w:pPr>
        <w:pStyle w:val="15"/>
        <w:keepNext w:val="0"/>
        <w:keepLines w:val="0"/>
        <w:pageBreakBefore w:val="0"/>
        <w:kinsoku/>
        <w:wordWrap/>
        <w:overflowPunct/>
        <w:topLinePunct w:val="0"/>
        <w:autoSpaceDE/>
        <w:autoSpaceDN/>
        <w:bidi w:val="0"/>
        <w:adjustRightInd w:val="0"/>
        <w:snapToGrid w:val="0"/>
        <w:spacing w:line="360" w:lineRule="auto"/>
        <w:jc w:val="left"/>
        <w:textAlignment w:val="auto"/>
        <w:outlineLvl w:val="1"/>
        <w:rPr>
          <w:rFonts w:hint="eastAsia" w:ascii="Times New Roman" w:hAnsi="Times New Roman" w:eastAsia="仿宋_GB2312" w:cs="仿宋_GB2312"/>
          <w:color w:val="auto"/>
          <w:sz w:val="32"/>
          <w:szCs w:val="32"/>
          <w:highlight w:val="none"/>
          <w:lang w:eastAsia="zh-CN"/>
        </w:rPr>
      </w:pPr>
      <w:bookmarkStart w:id="153" w:name="_Toc15396631"/>
      <w:bookmarkStart w:id="154" w:name="_Toc25129"/>
      <w:r>
        <w:rPr>
          <w:rFonts w:hint="eastAsia" w:ascii="Times New Roman" w:hAnsi="Times New Roman" w:eastAsia="仿宋_GB2312" w:cs="仿宋_GB2312"/>
          <w:color w:val="auto"/>
          <w:sz w:val="32"/>
          <w:szCs w:val="32"/>
          <w:highlight w:val="none"/>
        </w:rPr>
        <w:t>十三、</w:t>
      </w:r>
      <w:bookmarkEnd w:id="153"/>
      <w:r>
        <w:rPr>
          <w:rFonts w:hint="eastAsia" w:ascii="Times New Roman" w:hAnsi="Times New Roman" w:eastAsia="仿宋_GB2312" w:cs="仿宋_GB2312"/>
          <w:color w:val="auto"/>
          <w:sz w:val="32"/>
          <w:szCs w:val="32"/>
          <w:highlight w:val="none"/>
          <w:lang w:eastAsia="zh-CN"/>
        </w:rPr>
        <w:t>财政拨款“三公”经费支出决算表</w:t>
      </w:r>
      <w:bookmarkEnd w:id="154"/>
    </w:p>
    <w:p w14:paraId="5E072983">
      <w:pPr>
        <w:pageBreakBefore w:val="0"/>
        <w:kinsoku/>
        <w:wordWrap/>
        <w:overflowPunct/>
        <w:topLinePunct w:val="0"/>
        <w:autoSpaceDE/>
        <w:autoSpaceDN/>
        <w:bidi w:val="0"/>
        <w:snapToGrid w:val="0"/>
        <w:spacing w:line="360" w:lineRule="auto"/>
        <w:rPr>
          <w:rFonts w:hint="eastAsia" w:ascii="Times New Roman" w:hAnsi="Times New Roman"/>
          <w:lang w:eastAsia="zh-CN"/>
        </w:rPr>
      </w:pPr>
    </w:p>
    <w:sectPr>
      <w:footerReference r:id="rId9" w:type="first"/>
      <w:footerReference r:id="rId8" w:type="default"/>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B06A7F-89A7-493C-BDEE-514BBF4373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7759073-2AAD-4921-93A8-8B32638EDC6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952B4B8A-6727-4798-B846-3B3044684848}"/>
  </w:font>
  <w:font w:name="仿宋">
    <w:panose1 w:val="02010609060101010101"/>
    <w:charset w:val="86"/>
    <w:family w:val="modern"/>
    <w:pitch w:val="default"/>
    <w:sig w:usb0="800002BF" w:usb1="38CF7CFA" w:usb2="00000016" w:usb3="00000000" w:csb0="00040001" w:csb1="00000000"/>
    <w:embedRegular r:id="rId4" w:fontKey="{CA39ABB4-B905-4538-8740-E512FA9FEFE9}"/>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2010600010101010101"/>
    <w:charset w:val="86"/>
    <w:family w:val="script"/>
    <w:pitch w:val="default"/>
    <w:sig w:usb0="00000000" w:usb1="00000000" w:usb2="00000000" w:usb3="00000000" w:csb0="00040000" w:csb1="00000000"/>
    <w:embedRegular r:id="rId5" w:fontKey="{E0DF117F-D1E6-46EA-AF07-06E29622949C}"/>
  </w:font>
  <w:font w:name="楷体_GB2312">
    <w:altName w:val="楷体"/>
    <w:panose1 w:val="02010609030101010101"/>
    <w:charset w:val="86"/>
    <w:family w:val="auto"/>
    <w:pitch w:val="default"/>
    <w:sig w:usb0="00000000" w:usb1="00000000" w:usb2="00000000" w:usb3="00000000" w:csb0="00040000" w:csb1="00000000"/>
    <w:embedRegular r:id="rId6" w:fontKey="{35B351F6-C8D6-425C-8D45-4EACC77F7A7B}"/>
  </w:font>
  <w:font w:name="楷体">
    <w:panose1 w:val="02010609060101010101"/>
    <w:charset w:val="86"/>
    <w:family w:val="auto"/>
    <w:pitch w:val="default"/>
    <w:sig w:usb0="800002BF" w:usb1="38CF7CFA" w:usb2="00000016" w:usb3="00000000" w:csb0="00040001" w:csb1="00000000"/>
  </w:font>
  <w:font w:name="sans-serif">
    <w:altName w:val="微软雅黑"/>
    <w:panose1 w:val="00000000000000000000"/>
    <w:charset w:val="00"/>
    <w:family w:val="auto"/>
    <w:pitch w:val="default"/>
    <w:sig w:usb0="00000000" w:usb1="00000000" w:usb2="00000000" w:usb3="00000000" w:csb0="00040001" w:csb1="00000000"/>
    <w:embedRegular r:id="rId7" w:fontKey="{AD152F95-4CAC-4628-A7FF-A4FB6B2C2584}"/>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auto"/>
    <w:pitch w:val="default"/>
    <w:sig w:usb0="00000000" w:usb1="00000000" w:usb2="00000000" w:usb3="00000000" w:csb0="00040000" w:csb1="00000000"/>
    <w:embedRegular r:id="rId8" w:fontKey="{8DFB7FC5-C1AF-48FD-81DA-85405D83C2DF}"/>
  </w:font>
  <w:font w:name="方正小标宋_GBK">
    <w:altName w:val="微软雅黑"/>
    <w:panose1 w:val="02000000000000000000"/>
    <w:charset w:val="86"/>
    <w:family w:val="auto"/>
    <w:pitch w:val="default"/>
    <w:sig w:usb0="00000000" w:usb1="00000000" w:usb2="00000000" w:usb3="00000000" w:csb0="00040000" w:csb1="00000000"/>
    <w:embedRegular r:id="rId9" w:fontKey="{7394BC05-38DD-4864-A2FB-C96A6E704C84}"/>
  </w:font>
  <w:font w:name="Wingdings 2">
    <w:altName w:val="Wingdings"/>
    <w:panose1 w:val="05020102010507070707"/>
    <w:charset w:val="00"/>
    <w:family w:val="auto"/>
    <w:pitch w:val="default"/>
    <w:sig w:usb0="00000000" w:usb1="00000000" w:usb2="00000000" w:usb3="00000000" w:csb0="80000000" w:csb1="00000000"/>
    <w:embedRegular r:id="rId10" w:fontKey="{C31744B3-199F-4315-B497-2E938F2891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8DE6">
    <w:pPr>
      <w:pStyle w:val="10"/>
      <w:jc w:val="center"/>
    </w:pPr>
  </w:p>
  <w:p w14:paraId="1E996E5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C924">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33C91">
    <w:pPr>
      <w:pStyle w:val="10"/>
      <w:ind w:left="210" w:leftChars="100" w:right="210" w:rightChars="10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14 -</w:t>
    </w:r>
    <w:r>
      <w:rPr>
        <w:rFonts w:ascii="宋体" w:hAnsi="宋体" w:eastAsia="宋体"/>
        <w:sz w:val="28"/>
        <w:szCs w:val="28"/>
      </w:rPr>
      <w:fldChar w:fldCharType="end"/>
    </w:r>
  </w:p>
  <w:p w14:paraId="4147DD79">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41DB">
    <w:pPr>
      <w:pStyle w:val="1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07B41">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6C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OTcRKocWGGuHuHyNi+sy2Ch/OAw8S7rbxOXzAi8EPe40Ve0UbC06XpZDrN4eLwDRvgZ4/X&#10;nQ/xvbCaJKOgHvXrZGWHTYh96BCSshm7lkp1NVSGNAW9ev027y5cPABXBjkSif6xyYrttj0z29ry&#10;CGLe9r0RHF9LJN+wEO+YRzPgwRiXeIulUhZJ7NmipLb+67/OUzxqBC8lDZqroAazRIn6YFA7AMbB&#10;8IOxHQyz1zcW3TrGGDrembjgoxrMylv9BTO0TDngYoYjU0HjYN7EvsExg1wsl13Q3nm5q/sL6DzH&#10;4sbcO57SJCGDW+4jxOw0TgL1qpx1Q+91VTrPSWruP/dd1OO/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i6CMzAgAAYwQAAA4AAAAAAAAAAQAgAAAAHwEAAGRycy9lMm9Eb2MueG1sUEsF&#10;BgAAAAAGAAYAWQEAAMQFAAAAAA==&#10;">
              <v:fill on="f" focussize="0,0"/>
              <v:stroke on="f" weight="0.5pt"/>
              <v:imagedata o:title=""/>
              <o:lock v:ext="edit" aspectratio="f"/>
              <v:textbox inset="0mm,0mm,0mm,0mm" style="mso-fit-shape-to-text:t;">
                <w:txbxContent>
                  <w:p w14:paraId="54A07B41">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D6E6">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FB434">
                          <w:pPr>
                            <w:pStyle w:val="1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rY0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1B3wzQqfvrx/fTz&#10;4fTrGxm/TQI1LswQd+8QGdt3tkXwcB5wmHi3ldfpC0YEfsh7vMgr2kh4ujSdTKc5XBy+YQP87PG6&#10;8yG+F1aTZBTUo36drOywCbEPHUJSNmPXUqmuhsqQpqBXr9/k3YWLB+DKIEci0T82WbHdtmdmW1se&#10;QczbvjeC42uJ5BsW4h3zaAY8GOMSb7FUyiKJPVuU1NZ//dd5ikeN4KWkQXMV1GCWKFEfDGoHwDgY&#10;fjC2g2H2+saiW8cYQ8c7Exd8VINZeau/YIaWKQdczHBkKmgczJvYNzhmkIvlsgvaOy93dX8BnedY&#10;3Jh7x1OaJGRwy32EmJ3GSaBelbNu6L2uSuc5Sc3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D+rY0zAgAAYwQAAA4AAAAAAAAAAQAgAAAAHwEAAGRycy9lMm9Eb2MueG1sUEsF&#10;BgAAAAAGAAYAWQEAAMQFAAAAAA==&#10;">
              <v:fill on="f" focussize="0,0"/>
              <v:stroke on="f" weight="0.5pt"/>
              <v:imagedata o:title=""/>
              <o:lock v:ext="edit" aspectratio="f"/>
              <v:textbox inset="0mm,0mm,0mm,0mm" style="mso-fit-shape-to-text:t;">
                <w:txbxContent>
                  <w:p w14:paraId="3CBFB434">
                    <w:pPr>
                      <w:pStyle w:val="10"/>
                    </w:pPr>
                    <w:r>
                      <w:fldChar w:fldCharType="begin"/>
                    </w:r>
                    <w:r>
                      <w:instrText xml:space="preserve"> PAGE  \* MERGEFORMAT </w:instrText>
                    </w:r>
                    <w:r>
                      <w:fldChar w:fldCharType="separate"/>
                    </w:r>
                    <w:r>
                      <w:t>- 2 -</w:t>
                    </w:r>
                    <w:r>
                      <w:fldChar w:fldCharType="end"/>
                    </w:r>
                  </w:p>
                </w:txbxContent>
              </v:textbox>
            </v:shape>
          </w:pict>
        </mc:Fallback>
      </mc:AlternateContent>
    </w:r>
  </w:p>
  <w:p w14:paraId="32BA8D27">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817AE">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A5762">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J9E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zKZJ4FqFxaIe3CIjM1b2yB4OA84TLyb0uv0BSMCP+Q9X+UVTSQ8XZpP5/MxXBy+YQP87PG6&#10;8yG+E1aTZOTUo36trOy0C7ELHUJSNmO3Uqm2hsqQOqez12/G7YWrB+DKIEci0T02WbHZNz2zvS3O&#10;IOZt1xvB8a1E8h0L8Z55NAMejHGJd1hKZZHE9hYllfVf/nWe4lEjeCmp0Vw5NZglStR7g9oBMA6G&#10;H4z9YJijvrXo1gnG0PHWxAUf1WCW3urPmKF1ygEXMxyZchoH8zZ2DY4Z5GK9boOOzstD1V1A5zkW&#10;d+bB8ZQmCRnc+hghZqtxEqhTpdcNvddWqZ+T1Nx/7tuox3/D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gn0SjICAABjBAAADgAAAAAAAAABACAAAAAfAQAAZHJzL2Uyb0RvYy54bWxQSwUG&#10;AAAAAAYABgBZAQAAwwUAAAAA&#10;">
              <v:fill on="f" focussize="0,0"/>
              <v:stroke on="f" weight="0.5pt"/>
              <v:imagedata o:title=""/>
              <o:lock v:ext="edit" aspectratio="f"/>
              <v:textbox inset="0mm,0mm,0mm,0mm" style="mso-fit-shape-to-text:t;">
                <w:txbxContent>
                  <w:p w14:paraId="72EA5762">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E29A7">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D39B8"/>
    <w:multiLevelType w:val="singleLevel"/>
    <w:tmpl w:val="909D39B8"/>
    <w:lvl w:ilvl="0" w:tentative="0">
      <w:start w:val="3"/>
      <w:numFmt w:val="chineseCounting"/>
      <w:suff w:val="nothing"/>
      <w:lvlText w:val="（%1）"/>
      <w:lvlJc w:val="left"/>
      <w:rPr>
        <w:rFonts w:hint="eastAsia"/>
      </w:rPr>
    </w:lvl>
  </w:abstractNum>
  <w:abstractNum w:abstractNumId="1">
    <w:nsid w:val="93F6299F"/>
    <w:multiLevelType w:val="singleLevel"/>
    <w:tmpl w:val="93F6299F"/>
    <w:lvl w:ilvl="0" w:tentative="0">
      <w:start w:val="2"/>
      <w:numFmt w:val="chineseCounting"/>
      <w:suff w:val="nothing"/>
      <w:lvlText w:val="（%1）"/>
      <w:lvlJc w:val="left"/>
      <w:rPr>
        <w:rFonts w:hint="eastAsia"/>
      </w:rPr>
    </w:lvl>
  </w:abstractNum>
  <w:abstractNum w:abstractNumId="2">
    <w:nsid w:val="949CDF25"/>
    <w:multiLevelType w:val="singleLevel"/>
    <w:tmpl w:val="949CDF25"/>
    <w:lvl w:ilvl="0" w:tentative="0">
      <w:start w:val="5"/>
      <w:numFmt w:val="chineseCounting"/>
      <w:suff w:val="nothing"/>
      <w:lvlText w:val="%1、"/>
      <w:lvlJc w:val="left"/>
      <w:rPr>
        <w:rFonts w:hint="eastAsia"/>
      </w:rPr>
    </w:lvl>
  </w:abstractNum>
  <w:abstractNum w:abstractNumId="3">
    <w:nsid w:val="96E63969"/>
    <w:multiLevelType w:val="singleLevel"/>
    <w:tmpl w:val="96E63969"/>
    <w:lvl w:ilvl="0" w:tentative="0">
      <w:start w:val="3"/>
      <w:numFmt w:val="chineseCounting"/>
      <w:suff w:val="nothing"/>
      <w:lvlText w:val="（%1）"/>
      <w:lvlJc w:val="left"/>
      <w:rPr>
        <w:rFonts w:hint="eastAsia"/>
      </w:rPr>
    </w:lvl>
  </w:abstractNum>
  <w:abstractNum w:abstractNumId="4">
    <w:nsid w:val="AAA28C53"/>
    <w:multiLevelType w:val="singleLevel"/>
    <w:tmpl w:val="AAA28C53"/>
    <w:lvl w:ilvl="0" w:tentative="0">
      <w:start w:val="3"/>
      <w:numFmt w:val="chineseCounting"/>
      <w:suff w:val="nothing"/>
      <w:lvlText w:val="（%1）"/>
      <w:lvlJc w:val="left"/>
      <w:rPr>
        <w:rFonts w:hint="eastAsia"/>
      </w:rPr>
    </w:lvl>
  </w:abstractNum>
  <w:abstractNum w:abstractNumId="5">
    <w:nsid w:val="B0EA5A8D"/>
    <w:multiLevelType w:val="singleLevel"/>
    <w:tmpl w:val="B0EA5A8D"/>
    <w:lvl w:ilvl="0" w:tentative="0">
      <w:start w:val="3"/>
      <w:numFmt w:val="chineseCounting"/>
      <w:suff w:val="nothing"/>
      <w:lvlText w:val="（%1）"/>
      <w:lvlJc w:val="left"/>
      <w:rPr>
        <w:rFonts w:hint="eastAsia"/>
      </w:rPr>
    </w:lvl>
  </w:abstractNum>
  <w:abstractNum w:abstractNumId="6">
    <w:nsid w:val="B83620D2"/>
    <w:multiLevelType w:val="singleLevel"/>
    <w:tmpl w:val="B83620D2"/>
    <w:lvl w:ilvl="0" w:tentative="0">
      <w:start w:val="3"/>
      <w:numFmt w:val="chineseCounting"/>
      <w:suff w:val="nothing"/>
      <w:lvlText w:val="（%1）"/>
      <w:lvlJc w:val="left"/>
      <w:rPr>
        <w:rFonts w:hint="eastAsia"/>
      </w:rPr>
    </w:lvl>
  </w:abstractNum>
  <w:abstractNum w:abstractNumId="7">
    <w:nsid w:val="B991DCB3"/>
    <w:multiLevelType w:val="singleLevel"/>
    <w:tmpl w:val="B991DCB3"/>
    <w:lvl w:ilvl="0" w:tentative="0">
      <w:start w:val="3"/>
      <w:numFmt w:val="chineseCounting"/>
      <w:suff w:val="nothing"/>
      <w:lvlText w:val="（%1）"/>
      <w:lvlJc w:val="left"/>
      <w:rPr>
        <w:rFonts w:hint="eastAsia"/>
      </w:rPr>
    </w:lvl>
  </w:abstractNum>
  <w:abstractNum w:abstractNumId="8">
    <w:nsid w:val="CEDCF29D"/>
    <w:multiLevelType w:val="singleLevel"/>
    <w:tmpl w:val="CEDCF29D"/>
    <w:lvl w:ilvl="0" w:tentative="0">
      <w:start w:val="2"/>
      <w:numFmt w:val="chineseCounting"/>
      <w:suff w:val="nothing"/>
      <w:lvlText w:val="%1、"/>
      <w:lvlJc w:val="left"/>
      <w:rPr>
        <w:rFonts w:hint="eastAsia"/>
      </w:rPr>
    </w:lvl>
  </w:abstractNum>
  <w:abstractNum w:abstractNumId="9">
    <w:nsid w:val="CF41432E"/>
    <w:multiLevelType w:val="singleLevel"/>
    <w:tmpl w:val="CF41432E"/>
    <w:lvl w:ilvl="0" w:tentative="0">
      <w:start w:val="2"/>
      <w:numFmt w:val="chineseCounting"/>
      <w:suff w:val="nothing"/>
      <w:lvlText w:val="（%1）"/>
      <w:lvlJc w:val="left"/>
      <w:rPr>
        <w:rFonts w:hint="eastAsia"/>
      </w:rPr>
    </w:lvl>
  </w:abstractNum>
  <w:abstractNum w:abstractNumId="10">
    <w:nsid w:val="E1A5D5C1"/>
    <w:multiLevelType w:val="singleLevel"/>
    <w:tmpl w:val="E1A5D5C1"/>
    <w:lvl w:ilvl="0" w:tentative="0">
      <w:start w:val="3"/>
      <w:numFmt w:val="chineseCounting"/>
      <w:suff w:val="nothing"/>
      <w:lvlText w:val="（%1）"/>
      <w:lvlJc w:val="left"/>
      <w:rPr>
        <w:rFonts w:hint="eastAsia"/>
      </w:rPr>
    </w:lvl>
  </w:abstractNum>
  <w:abstractNum w:abstractNumId="11">
    <w:nsid w:val="E870DA44"/>
    <w:multiLevelType w:val="singleLevel"/>
    <w:tmpl w:val="E870DA44"/>
    <w:lvl w:ilvl="0" w:tentative="0">
      <w:start w:val="2"/>
      <w:numFmt w:val="chineseCounting"/>
      <w:suff w:val="nothing"/>
      <w:lvlText w:val="（%1）"/>
      <w:lvlJc w:val="left"/>
      <w:rPr>
        <w:rFonts w:hint="eastAsia"/>
      </w:rPr>
    </w:lvl>
  </w:abstractNum>
  <w:abstractNum w:abstractNumId="12">
    <w:nsid w:val="E99D6905"/>
    <w:multiLevelType w:val="singleLevel"/>
    <w:tmpl w:val="E99D6905"/>
    <w:lvl w:ilvl="0" w:tentative="0">
      <w:start w:val="2"/>
      <w:numFmt w:val="chineseCounting"/>
      <w:suff w:val="nothing"/>
      <w:lvlText w:val="（%1）"/>
      <w:lvlJc w:val="left"/>
      <w:rPr>
        <w:rFonts w:hint="eastAsia"/>
      </w:rPr>
    </w:lvl>
  </w:abstractNum>
  <w:abstractNum w:abstractNumId="13">
    <w:nsid w:val="EC39AD22"/>
    <w:multiLevelType w:val="singleLevel"/>
    <w:tmpl w:val="EC39AD22"/>
    <w:lvl w:ilvl="0" w:tentative="0">
      <w:start w:val="2"/>
      <w:numFmt w:val="chineseCounting"/>
      <w:suff w:val="nothing"/>
      <w:lvlText w:val="（%1）"/>
      <w:lvlJc w:val="left"/>
      <w:rPr>
        <w:rFonts w:hint="eastAsia"/>
      </w:rPr>
    </w:lvl>
  </w:abstractNum>
  <w:abstractNum w:abstractNumId="14">
    <w:nsid w:val="F0DA5FE5"/>
    <w:multiLevelType w:val="singleLevel"/>
    <w:tmpl w:val="F0DA5FE5"/>
    <w:lvl w:ilvl="0" w:tentative="0">
      <w:start w:val="3"/>
      <w:numFmt w:val="chineseCounting"/>
      <w:suff w:val="nothing"/>
      <w:lvlText w:val="（%1）"/>
      <w:lvlJc w:val="left"/>
      <w:rPr>
        <w:rFonts w:hint="eastAsia"/>
      </w:rPr>
    </w:lvl>
  </w:abstractNum>
  <w:abstractNum w:abstractNumId="15">
    <w:nsid w:val="02B4AACE"/>
    <w:multiLevelType w:val="singleLevel"/>
    <w:tmpl w:val="02B4AACE"/>
    <w:lvl w:ilvl="0" w:tentative="0">
      <w:start w:val="2"/>
      <w:numFmt w:val="chineseCounting"/>
      <w:suff w:val="nothing"/>
      <w:lvlText w:val="（%1）"/>
      <w:lvlJc w:val="left"/>
      <w:rPr>
        <w:rFonts w:hint="eastAsia"/>
      </w:rPr>
    </w:lvl>
  </w:abstractNum>
  <w:abstractNum w:abstractNumId="16">
    <w:nsid w:val="2C6D11EC"/>
    <w:multiLevelType w:val="singleLevel"/>
    <w:tmpl w:val="2C6D11EC"/>
    <w:lvl w:ilvl="0" w:tentative="0">
      <w:start w:val="2"/>
      <w:numFmt w:val="chineseCounting"/>
      <w:suff w:val="nothing"/>
      <w:lvlText w:val="（%1）"/>
      <w:lvlJc w:val="left"/>
      <w:rPr>
        <w:rFonts w:hint="eastAsia"/>
      </w:rPr>
    </w:lvl>
  </w:abstractNum>
  <w:abstractNum w:abstractNumId="17">
    <w:nsid w:val="41FB6CE4"/>
    <w:multiLevelType w:val="singleLevel"/>
    <w:tmpl w:val="41FB6CE4"/>
    <w:lvl w:ilvl="0" w:tentative="0">
      <w:start w:val="2"/>
      <w:numFmt w:val="chineseCounting"/>
      <w:suff w:val="nothing"/>
      <w:lvlText w:val="（%1）"/>
      <w:lvlJc w:val="left"/>
      <w:rPr>
        <w:rFonts w:hint="eastAsia"/>
      </w:rPr>
    </w:lvl>
  </w:abstractNum>
  <w:abstractNum w:abstractNumId="18">
    <w:nsid w:val="54206078"/>
    <w:multiLevelType w:val="singleLevel"/>
    <w:tmpl w:val="54206078"/>
    <w:lvl w:ilvl="0" w:tentative="0">
      <w:start w:val="2"/>
      <w:numFmt w:val="chineseCounting"/>
      <w:suff w:val="nothing"/>
      <w:lvlText w:val="（%1）"/>
      <w:lvlJc w:val="left"/>
      <w:rPr>
        <w:rFonts w:hint="eastAsia"/>
      </w:rPr>
    </w:lvl>
  </w:abstractNum>
  <w:abstractNum w:abstractNumId="19">
    <w:nsid w:val="554B28C0"/>
    <w:multiLevelType w:val="singleLevel"/>
    <w:tmpl w:val="554B28C0"/>
    <w:lvl w:ilvl="0" w:tentative="0">
      <w:start w:val="4"/>
      <w:numFmt w:val="chineseCounting"/>
      <w:suff w:val="nothing"/>
      <w:lvlText w:val="（%1）"/>
      <w:lvlJc w:val="left"/>
      <w:rPr>
        <w:rFonts w:hint="eastAsia"/>
      </w:rPr>
    </w:lvl>
  </w:abstractNum>
  <w:abstractNum w:abstractNumId="20">
    <w:nsid w:val="738CF41A"/>
    <w:multiLevelType w:val="singleLevel"/>
    <w:tmpl w:val="738CF41A"/>
    <w:lvl w:ilvl="0" w:tentative="0">
      <w:start w:val="2"/>
      <w:numFmt w:val="chineseCounting"/>
      <w:suff w:val="nothing"/>
      <w:lvlText w:val="（%1）"/>
      <w:lvlJc w:val="left"/>
      <w:rPr>
        <w:rFonts w:hint="eastAsia"/>
      </w:rPr>
    </w:lvl>
  </w:abstractNum>
  <w:abstractNum w:abstractNumId="21">
    <w:nsid w:val="77C0AB22"/>
    <w:multiLevelType w:val="singleLevel"/>
    <w:tmpl w:val="77C0AB22"/>
    <w:lvl w:ilvl="0" w:tentative="0">
      <w:start w:val="1"/>
      <w:numFmt w:val="chineseCounting"/>
      <w:suff w:val="nothing"/>
      <w:lvlText w:val="（%1）"/>
      <w:lvlJc w:val="left"/>
      <w:rPr>
        <w:rFonts w:hint="eastAsia"/>
      </w:rPr>
    </w:lvl>
  </w:abstractNum>
  <w:num w:numId="1">
    <w:abstractNumId w:val="19"/>
  </w:num>
  <w:num w:numId="2">
    <w:abstractNumId w:val="16"/>
  </w:num>
  <w:num w:numId="3">
    <w:abstractNumId w:val="8"/>
  </w:num>
  <w:num w:numId="4">
    <w:abstractNumId w:val="21"/>
  </w:num>
  <w:num w:numId="5">
    <w:abstractNumId w:val="12"/>
  </w:num>
  <w:num w:numId="6">
    <w:abstractNumId w:val="10"/>
  </w:num>
  <w:num w:numId="7">
    <w:abstractNumId w:val="20"/>
  </w:num>
  <w:num w:numId="8">
    <w:abstractNumId w:val="5"/>
  </w:num>
  <w:num w:numId="9">
    <w:abstractNumId w:val="2"/>
  </w:num>
  <w:num w:numId="10">
    <w:abstractNumId w:val="17"/>
  </w:num>
  <w:num w:numId="11">
    <w:abstractNumId w:val="9"/>
  </w:num>
  <w:num w:numId="12">
    <w:abstractNumId w:val="14"/>
  </w:num>
  <w:num w:numId="13">
    <w:abstractNumId w:val="15"/>
  </w:num>
  <w:num w:numId="14">
    <w:abstractNumId w:val="0"/>
  </w:num>
  <w:num w:numId="15">
    <w:abstractNumId w:val="1"/>
  </w:num>
  <w:num w:numId="16">
    <w:abstractNumId w:val="4"/>
  </w:num>
  <w:num w:numId="17">
    <w:abstractNumId w:val="18"/>
  </w:num>
  <w:num w:numId="18">
    <w:abstractNumId w:val="3"/>
  </w:num>
  <w:num w:numId="19">
    <w:abstractNumId w:val="7"/>
  </w:num>
  <w:num w:numId="20">
    <w:abstractNumId w:val="11"/>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FEBE30"/>
    <w:rsid w:val="03906A9D"/>
    <w:rsid w:val="04B21F79"/>
    <w:rsid w:val="061E35DE"/>
    <w:rsid w:val="066E0107"/>
    <w:rsid w:val="07996F6E"/>
    <w:rsid w:val="07DFD8BA"/>
    <w:rsid w:val="09867E8F"/>
    <w:rsid w:val="0A2032A3"/>
    <w:rsid w:val="0B5F3925"/>
    <w:rsid w:val="0CA8290A"/>
    <w:rsid w:val="0D35B1ED"/>
    <w:rsid w:val="0DBF2793"/>
    <w:rsid w:val="0E3A3A0F"/>
    <w:rsid w:val="0F25616A"/>
    <w:rsid w:val="0F3B399A"/>
    <w:rsid w:val="0F98263C"/>
    <w:rsid w:val="0FB6751E"/>
    <w:rsid w:val="101860EC"/>
    <w:rsid w:val="10C055FF"/>
    <w:rsid w:val="11772AA4"/>
    <w:rsid w:val="118107EC"/>
    <w:rsid w:val="13D50BC4"/>
    <w:rsid w:val="16242D91"/>
    <w:rsid w:val="165E0673"/>
    <w:rsid w:val="16BB723D"/>
    <w:rsid w:val="186504BB"/>
    <w:rsid w:val="19151BE5"/>
    <w:rsid w:val="19647381"/>
    <w:rsid w:val="19A445FC"/>
    <w:rsid w:val="1BCD766F"/>
    <w:rsid w:val="1BE8440E"/>
    <w:rsid w:val="1D155CEE"/>
    <w:rsid w:val="1DCF1243"/>
    <w:rsid w:val="1E740ACF"/>
    <w:rsid w:val="1FF35744"/>
    <w:rsid w:val="1FF6BC77"/>
    <w:rsid w:val="23860B96"/>
    <w:rsid w:val="240371BF"/>
    <w:rsid w:val="2501130A"/>
    <w:rsid w:val="260F557C"/>
    <w:rsid w:val="26782255"/>
    <w:rsid w:val="26BF6386"/>
    <w:rsid w:val="281408E2"/>
    <w:rsid w:val="29451A32"/>
    <w:rsid w:val="29FD04D3"/>
    <w:rsid w:val="2AA02D79"/>
    <w:rsid w:val="2AF04D5E"/>
    <w:rsid w:val="2BFF7BC6"/>
    <w:rsid w:val="2C8A61B5"/>
    <w:rsid w:val="2C9B6D81"/>
    <w:rsid w:val="2D1D4F69"/>
    <w:rsid w:val="2DF04E50"/>
    <w:rsid w:val="2E0E0B66"/>
    <w:rsid w:val="2EBB5476"/>
    <w:rsid w:val="2F040D46"/>
    <w:rsid w:val="2FAE5751"/>
    <w:rsid w:val="2FB1A395"/>
    <w:rsid w:val="2FD9A7D8"/>
    <w:rsid w:val="31183E7A"/>
    <w:rsid w:val="319F7F4E"/>
    <w:rsid w:val="3304709D"/>
    <w:rsid w:val="33FE04A7"/>
    <w:rsid w:val="349D6851"/>
    <w:rsid w:val="34D37883"/>
    <w:rsid w:val="35647178"/>
    <w:rsid w:val="36AA5135"/>
    <w:rsid w:val="36BE0DA7"/>
    <w:rsid w:val="376B6AA6"/>
    <w:rsid w:val="376D39B2"/>
    <w:rsid w:val="37E16F03"/>
    <w:rsid w:val="37F53A3B"/>
    <w:rsid w:val="384A5F3F"/>
    <w:rsid w:val="389B6C89"/>
    <w:rsid w:val="38D469F0"/>
    <w:rsid w:val="39627CCD"/>
    <w:rsid w:val="397BAF1F"/>
    <w:rsid w:val="3A7E6B80"/>
    <w:rsid w:val="3AB79AF3"/>
    <w:rsid w:val="3AE92D6A"/>
    <w:rsid w:val="3B2A5C7D"/>
    <w:rsid w:val="3B7EF35A"/>
    <w:rsid w:val="3B9FDB6C"/>
    <w:rsid w:val="3BF5BC2F"/>
    <w:rsid w:val="3C3C448D"/>
    <w:rsid w:val="3CB24F41"/>
    <w:rsid w:val="3CEBA265"/>
    <w:rsid w:val="3D905D70"/>
    <w:rsid w:val="3D98207C"/>
    <w:rsid w:val="3DEE7CF3"/>
    <w:rsid w:val="3E78745D"/>
    <w:rsid w:val="3F310E31"/>
    <w:rsid w:val="3FF4CAE0"/>
    <w:rsid w:val="3FF7B227"/>
    <w:rsid w:val="410E22D1"/>
    <w:rsid w:val="413E010E"/>
    <w:rsid w:val="41623E54"/>
    <w:rsid w:val="44377855"/>
    <w:rsid w:val="44E268DA"/>
    <w:rsid w:val="45224414"/>
    <w:rsid w:val="486A6C7A"/>
    <w:rsid w:val="4A627F82"/>
    <w:rsid w:val="4B0E749A"/>
    <w:rsid w:val="4B4F25DA"/>
    <w:rsid w:val="4BE068DB"/>
    <w:rsid w:val="4D577224"/>
    <w:rsid w:val="4D770B03"/>
    <w:rsid w:val="4DBF1CEB"/>
    <w:rsid w:val="4EAB630A"/>
    <w:rsid w:val="4ECE2238"/>
    <w:rsid w:val="4F833267"/>
    <w:rsid w:val="4FE9BD67"/>
    <w:rsid w:val="4FFB052F"/>
    <w:rsid w:val="52CA1AC5"/>
    <w:rsid w:val="537E6D0A"/>
    <w:rsid w:val="53F74C96"/>
    <w:rsid w:val="551B67CF"/>
    <w:rsid w:val="56E47B74"/>
    <w:rsid w:val="57BD3DD4"/>
    <w:rsid w:val="57CB4D5F"/>
    <w:rsid w:val="59C12ADD"/>
    <w:rsid w:val="5AF92295"/>
    <w:rsid w:val="5BDD79E6"/>
    <w:rsid w:val="5BF561CA"/>
    <w:rsid w:val="5BFF5DFC"/>
    <w:rsid w:val="5CD71FC4"/>
    <w:rsid w:val="5D1F11B5"/>
    <w:rsid w:val="5DAE1B18"/>
    <w:rsid w:val="5DE7D9E5"/>
    <w:rsid w:val="5ECEC941"/>
    <w:rsid w:val="5FBF9FF3"/>
    <w:rsid w:val="5FCD4E2C"/>
    <w:rsid w:val="5FEF394A"/>
    <w:rsid w:val="5FF67715"/>
    <w:rsid w:val="62BF3928"/>
    <w:rsid w:val="62CC2B0C"/>
    <w:rsid w:val="647F5392"/>
    <w:rsid w:val="65324786"/>
    <w:rsid w:val="664B1D71"/>
    <w:rsid w:val="66CD2666"/>
    <w:rsid w:val="66E77BCB"/>
    <w:rsid w:val="67AA3209"/>
    <w:rsid w:val="692C79C6"/>
    <w:rsid w:val="69704391"/>
    <w:rsid w:val="698D0931"/>
    <w:rsid w:val="6B053271"/>
    <w:rsid w:val="6B596BBE"/>
    <w:rsid w:val="6C4A05C8"/>
    <w:rsid w:val="6C8742B8"/>
    <w:rsid w:val="6DBF5E93"/>
    <w:rsid w:val="6DE035C6"/>
    <w:rsid w:val="6DFF077E"/>
    <w:rsid w:val="6E7E3605"/>
    <w:rsid w:val="6E7FDCC7"/>
    <w:rsid w:val="6EA85C65"/>
    <w:rsid w:val="6ED6A62E"/>
    <w:rsid w:val="6EE00B15"/>
    <w:rsid w:val="6F6FB3EB"/>
    <w:rsid w:val="6F8731EA"/>
    <w:rsid w:val="6FCE6052"/>
    <w:rsid w:val="6FD57C00"/>
    <w:rsid w:val="6FEFFFD8"/>
    <w:rsid w:val="6FF5CC65"/>
    <w:rsid w:val="6FFB47EC"/>
    <w:rsid w:val="6FFF034A"/>
    <w:rsid w:val="712A28F1"/>
    <w:rsid w:val="715C0E4B"/>
    <w:rsid w:val="71F00CFF"/>
    <w:rsid w:val="72233669"/>
    <w:rsid w:val="72514EB4"/>
    <w:rsid w:val="72734D90"/>
    <w:rsid w:val="7332FE48"/>
    <w:rsid w:val="73AB61DA"/>
    <w:rsid w:val="73AD73D5"/>
    <w:rsid w:val="73B6EB34"/>
    <w:rsid w:val="73FA497D"/>
    <w:rsid w:val="744731E5"/>
    <w:rsid w:val="74BBD01D"/>
    <w:rsid w:val="74ED5379"/>
    <w:rsid w:val="75DEEEC2"/>
    <w:rsid w:val="76E3355F"/>
    <w:rsid w:val="76FF5125"/>
    <w:rsid w:val="776F6FFA"/>
    <w:rsid w:val="778769C8"/>
    <w:rsid w:val="77DC22F5"/>
    <w:rsid w:val="79086DAD"/>
    <w:rsid w:val="79D7FD79"/>
    <w:rsid w:val="79EE5BA4"/>
    <w:rsid w:val="7A894339"/>
    <w:rsid w:val="7AFF7572"/>
    <w:rsid w:val="7B2A5394"/>
    <w:rsid w:val="7B6C7DFB"/>
    <w:rsid w:val="7BBFBED0"/>
    <w:rsid w:val="7BC3E394"/>
    <w:rsid w:val="7C1F3737"/>
    <w:rsid w:val="7CBFC87B"/>
    <w:rsid w:val="7CFE0F48"/>
    <w:rsid w:val="7D7EC23E"/>
    <w:rsid w:val="7E1F3C97"/>
    <w:rsid w:val="7E8ADEBF"/>
    <w:rsid w:val="7EEF11D3"/>
    <w:rsid w:val="7F0971A6"/>
    <w:rsid w:val="7F3F679B"/>
    <w:rsid w:val="7F4FC4EF"/>
    <w:rsid w:val="7F5E4D54"/>
    <w:rsid w:val="7F6E0135"/>
    <w:rsid w:val="7FA30C79"/>
    <w:rsid w:val="7FAF8ABF"/>
    <w:rsid w:val="7FB7269E"/>
    <w:rsid w:val="7FC96657"/>
    <w:rsid w:val="7FDA9588"/>
    <w:rsid w:val="7FDF220F"/>
    <w:rsid w:val="7FEDC5F7"/>
    <w:rsid w:val="7FEDD9DE"/>
    <w:rsid w:val="7FF5890D"/>
    <w:rsid w:val="7FF93490"/>
    <w:rsid w:val="99FF2014"/>
    <w:rsid w:val="A6DD0D7F"/>
    <w:rsid w:val="ADC6F725"/>
    <w:rsid w:val="B7CF06AB"/>
    <w:rsid w:val="B7CFA926"/>
    <w:rsid w:val="B7F8786B"/>
    <w:rsid w:val="BABB6AA1"/>
    <w:rsid w:val="BB2F4199"/>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FFA9E8"/>
    <w:rsid w:val="E5F4E9DC"/>
    <w:rsid w:val="E70FE695"/>
    <w:rsid w:val="ECFED1BC"/>
    <w:rsid w:val="ED1D69BB"/>
    <w:rsid w:val="ED7FD312"/>
    <w:rsid w:val="EF53993F"/>
    <w:rsid w:val="EF6FD633"/>
    <w:rsid w:val="EFBFB2F4"/>
    <w:rsid w:val="EFBFFA21"/>
    <w:rsid w:val="F2BEBCB8"/>
    <w:rsid w:val="F36FB518"/>
    <w:rsid w:val="F3DE1A04"/>
    <w:rsid w:val="F3F722E5"/>
    <w:rsid w:val="FA5F1E70"/>
    <w:rsid w:val="FA5FDB97"/>
    <w:rsid w:val="FB7F486A"/>
    <w:rsid w:val="FBFF5B2E"/>
    <w:rsid w:val="FD7FFE2B"/>
    <w:rsid w:val="FDEE196B"/>
    <w:rsid w:val="FDFE6575"/>
    <w:rsid w:val="FEDFDDC2"/>
    <w:rsid w:val="FEED32F6"/>
    <w:rsid w:val="FEF781DD"/>
    <w:rsid w:val="FF3F7E3F"/>
    <w:rsid w:val="FFBA12D7"/>
    <w:rsid w:val="FFDFFAEE"/>
    <w:rsid w:val="FFF9B57B"/>
    <w:rsid w:val="FFFD61D9"/>
    <w:rsid w:val="FFFD8F59"/>
    <w:rsid w:val="FFFF2BB1"/>
    <w:rsid w:val="FFFFB04D"/>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autoSpaceDN/>
      <w:snapToGrid/>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link w:val="39"/>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正文2"/>
    <w:basedOn w:val="1"/>
    <w:next w:val="1"/>
    <w:qFormat/>
    <w:uiPriority w:val="0"/>
    <w:rPr>
      <w:rFonts w:ascii="仿宋_GB2312" w:eastAsia="仿宋_GB2312"/>
      <w:sz w:val="32"/>
      <w:szCs w:val="20"/>
    </w:rPr>
  </w:style>
  <w:style w:type="paragraph" w:styleId="6">
    <w:name w:val="Body Text"/>
    <w:basedOn w:val="1"/>
    <w:link w:val="23"/>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42"/>
    <w:semiHidden/>
    <w:unhideWhenUsed/>
    <w:qFormat/>
    <w:uiPriority w:val="99"/>
    <w:rPr>
      <w:sz w:val="18"/>
      <w:szCs w:val="18"/>
    </w:rPr>
  </w:style>
  <w:style w:type="paragraph" w:styleId="10">
    <w:name w:val="footer"/>
    <w:basedOn w:val="1"/>
    <w:link w:val="38"/>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14"/>
    <w:semiHidden/>
    <w:qFormat/>
    <w:uiPriority w:val="0"/>
    <w:pPr>
      <w:snapToGrid w:val="0"/>
      <w:jc w:val="left"/>
    </w:pPr>
    <w:rPr>
      <w:sz w:val="18"/>
      <w:szCs w:val="18"/>
    </w:rPr>
  </w:style>
  <w:style w:type="paragraph" w:styleId="14">
    <w:name w:val="Body Text First Indent 2"/>
    <w:basedOn w:val="7"/>
    <w:unhideWhenUsed/>
    <w:qFormat/>
    <w:uiPriority w:val="99"/>
    <w:pPr>
      <w:ind w:firstLine="420" w:firstLineChars="200"/>
    </w:p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uppressAutoHyphens/>
      <w:spacing w:before="100" w:beforeAutospacing="1" w:after="100" w:afterAutospacing="1"/>
      <w:jc w:val="left"/>
    </w:pPr>
    <w:rPr>
      <w:rFonts w:ascii="Calibri" w:hAnsi="Calibri" w:eastAsia="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页眉 Char"/>
    <w:link w:val="11"/>
    <w:semiHidden/>
    <w:qFormat/>
    <w:locked/>
    <w:uiPriority w:val="99"/>
    <w:rPr>
      <w:sz w:val="18"/>
    </w:rPr>
  </w:style>
  <w:style w:type="character" w:customStyle="1" w:styleId="23">
    <w:name w:val="正文文本 Char"/>
    <w:link w:val="6"/>
    <w:qFormat/>
    <w:locked/>
    <w:uiPriority w:val="99"/>
    <w:rPr>
      <w:rFonts w:ascii="仿宋_GB2312" w:hAnsi="Times New Roman" w:eastAsia="仿宋_GB2312"/>
      <w:sz w:val="24"/>
    </w:rPr>
  </w:style>
  <w:style w:type="paragraph" w:customStyle="1" w:styleId="2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5">
    <w:name w:val="标题 1 Char"/>
    <w:basedOn w:val="19"/>
    <w:link w:val="3"/>
    <w:qFormat/>
    <w:uiPriority w:val="9"/>
    <w:rPr>
      <w:rFonts w:ascii="Times New Roman" w:hAnsi="Times New Roman"/>
      <w:b/>
      <w:bCs/>
      <w:kern w:val="44"/>
      <w:sz w:val="44"/>
      <w:szCs w:val="44"/>
    </w:rPr>
  </w:style>
  <w:style w:type="paragraph" w:customStyle="1" w:styleId="26">
    <w:name w:val="章标题"/>
    <w:basedOn w:val="1"/>
    <w:next w:val="27"/>
    <w:qFormat/>
    <w:uiPriority w:val="0"/>
    <w:pPr>
      <w:spacing w:line="323" w:lineRule="atLeast"/>
      <w:ind w:right="-120"/>
      <w:jc w:val="center"/>
      <w:textAlignment w:val="baseline"/>
    </w:pPr>
    <w:rPr>
      <w:color w:val="FF0000"/>
      <w:sz w:val="18"/>
      <w:szCs w:val="18"/>
    </w:rPr>
  </w:style>
  <w:style w:type="paragraph" w:customStyle="1" w:styleId="27">
    <w:name w:val="节标题"/>
    <w:basedOn w:val="1"/>
    <w:next w:val="1"/>
    <w:qFormat/>
    <w:uiPriority w:val="0"/>
    <w:pPr>
      <w:spacing w:line="289" w:lineRule="atLeast"/>
      <w:jc w:val="center"/>
      <w:textAlignment w:val="baseline"/>
    </w:pPr>
    <w:rPr>
      <w:sz w:val="28"/>
      <w:szCs w:val="28"/>
    </w:rPr>
  </w:style>
  <w:style w:type="paragraph" w:customStyle="1" w:styleId="28">
    <w:name w:val="表文字"/>
    <w:basedOn w:val="29"/>
    <w:qFormat/>
    <w:uiPriority w:val="5"/>
    <w:pPr>
      <w:widowControl/>
      <w:pBdr>
        <w:between w:val="single" w:color="auto" w:sz="4" w:space="1"/>
      </w:pBdr>
      <w:spacing w:line="320" w:lineRule="exact"/>
      <w:ind w:firstLine="0" w:firstLineChars="0"/>
      <w:jc w:val="center"/>
    </w:pPr>
    <w:rPr>
      <w:rFonts w:cs="宋体"/>
      <w:bCs/>
      <w:color w:val="000000"/>
      <w:sz w:val="22"/>
    </w:rPr>
  </w:style>
  <w:style w:type="paragraph" w:customStyle="1" w:styleId="29">
    <w:name w:val="报告正文"/>
    <w:basedOn w:val="1"/>
    <w:qFormat/>
    <w:uiPriority w:val="0"/>
    <w:pPr>
      <w:spacing w:line="600" w:lineRule="exact"/>
      <w:ind w:firstLine="200" w:firstLineChars="200"/>
    </w:pPr>
    <w:rPr>
      <w:rFonts w:eastAsia="仿宋"/>
      <w:kern w:val="0"/>
      <w:szCs w:val="28"/>
      <w:lang w:val="zh-CN"/>
    </w:rPr>
  </w:style>
  <w:style w:type="character" w:customStyle="1" w:styleId="30">
    <w:name w:val="Body Text Char"/>
    <w:basedOn w:val="19"/>
    <w:semiHidden/>
    <w:qFormat/>
    <w:uiPriority w:val="99"/>
    <w:rPr>
      <w:rFonts w:ascii="Times New Roman" w:hAnsi="Times New Roman"/>
      <w:szCs w:val="24"/>
    </w:rPr>
  </w:style>
  <w:style w:type="paragraph" w:styleId="31">
    <w:name w:val="List Paragraph"/>
    <w:basedOn w:val="1"/>
    <w:qFormat/>
    <w:uiPriority w:val="34"/>
    <w:pPr>
      <w:ind w:firstLine="420" w:firstLineChars="200"/>
    </w:pPr>
  </w:style>
  <w:style w:type="paragraph" w:customStyle="1" w:styleId="32">
    <w:name w:val="图表名"/>
    <w:basedOn w:val="1"/>
    <w:qFormat/>
    <w:uiPriority w:val="4"/>
    <w:pPr>
      <w:spacing w:before="60" w:after="60"/>
      <w:jc w:val="center"/>
    </w:pPr>
    <w:rPr>
      <w:b/>
      <w:kern w:val="0"/>
      <w:sz w:val="24"/>
      <w:szCs w:val="28"/>
    </w:rPr>
  </w:style>
  <w:style w:type="character" w:customStyle="1" w:styleId="33">
    <w:name w:val="Header Char"/>
    <w:basedOn w:val="19"/>
    <w:semiHidden/>
    <w:qFormat/>
    <w:uiPriority w:val="99"/>
    <w:rPr>
      <w:rFonts w:ascii="Times New Roman" w:hAnsi="Times New Roman"/>
      <w:sz w:val="18"/>
      <w:szCs w:val="1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5">
    <w:name w:val="Footer Char"/>
    <w:basedOn w:val="19"/>
    <w:semiHidden/>
    <w:qFormat/>
    <w:uiPriority w:val="99"/>
    <w:rPr>
      <w:rFonts w:ascii="Times New Roman" w:hAnsi="Times New Roman"/>
      <w:sz w:val="18"/>
      <w:szCs w:val="18"/>
    </w:rPr>
  </w:style>
  <w:style w:type="paragraph" w:customStyle="1" w:styleId="36">
    <w:name w:val="Default"/>
    <w:qFormat/>
    <w:uiPriority w:val="99"/>
    <w:pPr>
      <w:widowControl w:val="0"/>
      <w:autoSpaceDE w:val="0"/>
      <w:autoSpaceDN w:val="0"/>
      <w:adjustRightInd w:val="0"/>
      <w:snapToGrid/>
    </w:pPr>
    <w:rPr>
      <w:rFonts w:ascii="仿宋" w:hAnsi="Calibri" w:eastAsia="仿宋" w:cs="仿宋"/>
      <w:color w:val="000000"/>
      <w:kern w:val="2"/>
      <w:sz w:val="24"/>
      <w:szCs w:val="24"/>
      <w:lang w:val="en-US" w:eastAsia="zh-CN" w:bidi="ar-SA"/>
    </w:rPr>
  </w:style>
  <w:style w:type="paragraph" w:customStyle="1" w:styleId="37">
    <w:name w:val="标题 5（有编号）（绿盟科技）"/>
    <w:next w:val="1"/>
    <w:qFormat/>
    <w:uiPriority w:val="99"/>
    <w:pPr>
      <w:keepNext/>
      <w:keepLines/>
      <w:widowControl w:val="0"/>
      <w:autoSpaceDE/>
      <w:autoSpaceDN/>
      <w:snapToGrid/>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38">
    <w:name w:val="页脚 Char"/>
    <w:link w:val="10"/>
    <w:qFormat/>
    <w:locked/>
    <w:uiPriority w:val="99"/>
    <w:rPr>
      <w:sz w:val="18"/>
    </w:rPr>
  </w:style>
  <w:style w:type="character" w:customStyle="1" w:styleId="39">
    <w:name w:val="标题 3 Char"/>
    <w:basedOn w:val="19"/>
    <w:link w:val="5"/>
    <w:qFormat/>
    <w:uiPriority w:val="9"/>
    <w:rPr>
      <w:rFonts w:ascii="Times New Roman" w:hAnsi="Times New Roman"/>
      <w:b/>
      <w:bCs/>
      <w:kern w:val="2"/>
      <w:sz w:val="32"/>
      <w:szCs w:val="32"/>
    </w:rPr>
  </w:style>
  <w:style w:type="character" w:customStyle="1" w:styleId="40">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4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2">
    <w:name w:val="批注框文本 Char"/>
    <w:basedOn w:val="19"/>
    <w:link w:val="9"/>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收入、支出决算总计变动情况图</a:t>
            </a:r>
          </a:p>
        </c:rich>
      </c:tx>
      <c:layout/>
      <c:overlay val="0"/>
      <c:spPr>
        <a:noFill/>
        <a:ln>
          <a:noFill/>
        </a:ln>
        <a:effectLst/>
      </c:spPr>
    </c:title>
    <c:autoTitleDeleted val="0"/>
    <c:plotArea>
      <c:layout/>
      <c:barChart>
        <c:barDir val="col"/>
        <c:grouping val="clustered"/>
        <c:varyColors val="0"/>
        <c:ser>
          <c:idx val="0"/>
          <c:order val="0"/>
          <c:tx>
            <c:strRef>
              <c:f>[2024财务报告分析图表.xlsx]Sheet3!$D$9</c:f>
              <c:strCache>
                <c:ptCount val="1"/>
                <c:pt idx="0">
                  <c:v>收入支出金额</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[2024财务报告分析图表.xlsx]Sheet3!$C$10:$C$11</c:f>
              <c:numCache>
                <c:formatCode>General</c:formatCode>
                <c:ptCount val="2"/>
                <c:pt idx="0">
                  <c:v>2023</c:v>
                </c:pt>
                <c:pt idx="1">
                  <c:v>2024</c:v>
                </c:pt>
              </c:numCache>
            </c:numRef>
          </c:cat>
          <c:val>
            <c:numRef>
              <c:f>[2024财务报告分析图表.xlsx]Sheet3!$D$10:$D$11</c:f>
              <c:numCache>
                <c:formatCode>General</c:formatCode>
                <c:ptCount val="2"/>
                <c:pt idx="0">
                  <c:v>8623.6</c:v>
                </c:pt>
                <c:pt idx="1">
                  <c:v>8582.68</c:v>
                </c:pt>
              </c:numCache>
            </c:numRef>
          </c:val>
        </c:ser>
        <c:dLbls>
          <c:showLegendKey val="0"/>
          <c:showVal val="1"/>
          <c:showCatName val="0"/>
          <c:showSerName val="0"/>
          <c:showPercent val="0"/>
          <c:showBubbleSize val="0"/>
        </c:dLbls>
        <c:gapWidth val="246"/>
        <c:overlap val="-28"/>
        <c:axId val="689285946"/>
        <c:axId val="560216257"/>
      </c:barChart>
      <c:catAx>
        <c:axId val="68928594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216257"/>
        <c:crosses val="autoZero"/>
        <c:auto val="1"/>
        <c:lblAlgn val="ctr"/>
        <c:lblOffset val="100"/>
        <c:noMultiLvlLbl val="0"/>
      </c:catAx>
      <c:valAx>
        <c:axId val="56021625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928594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fe212ed-ad7f-4fc6-b257-dd1be22720d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收入决算结构图</a:t>
            </a:r>
            <a:endParaRPr lang="en-US" altLang="zh-CN"/>
          </a:p>
        </c:rich>
      </c:tx>
      <c:layout>
        <c:manualLayout>
          <c:xMode val="edge"/>
          <c:yMode val="edge"/>
          <c:x val="0.336316"/>
          <c:y val="0.0416667"/>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accent2"/>
              </a:solidFill>
              <a:ln>
                <a:solidFill>
                  <a:schemeClr val="bg1"/>
                </a:solidFill>
              </a:ln>
              <a:effectLst/>
              <a:scene3d>
                <a:camera prst="orthographicFront"/>
                <a:lightRig rig="threePt" dir="t"/>
              </a:scene3d>
              <a:sp3d contourW="9525"/>
            </c:spPr>
          </c:dPt>
          <c:dPt>
            <c:idx val="2"/>
            <c:bubble3D val="0"/>
            <c:spPr>
              <a:solidFill>
                <a:schemeClr val="accent3"/>
              </a:solidFill>
              <a:ln>
                <a:solidFill>
                  <a:schemeClr val="bg1"/>
                </a:solidFill>
              </a:ln>
              <a:effectLst/>
              <a:scene3d>
                <a:camera prst="orthographicFront"/>
                <a:lightRig rig="threePt" dir="t"/>
              </a:scene3d>
              <a:sp3d contourW="9525"/>
            </c:spPr>
          </c:dPt>
          <c:dLbls>
            <c:dLbl>
              <c:idx val="0"/>
              <c:layout>
                <c:manualLayout>
                  <c:x val="0.307635"/>
                  <c:y val="-0.21637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3684"/>
                  <c:y val="-0.027777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
                  <c:y val="-0.052777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[2024财务报告分析图表.xlsx]Sheet3!$C$62:$E$62</c:f>
              <c:strCache>
                <c:ptCount val="3"/>
                <c:pt idx="0">
                  <c:v>一般公共预算财政拨款收入</c:v>
                </c:pt>
                <c:pt idx="1">
                  <c:v>事业收入</c:v>
                </c:pt>
                <c:pt idx="2">
                  <c:v>其他收入</c:v>
                </c:pt>
              </c:strCache>
            </c:strRef>
          </c:cat>
          <c:val>
            <c:numRef>
              <c:f>[2024财务报告分析图表.xlsx]Sheet3!$C$64:$E$64</c:f>
              <c:numCache>
                <c:formatCode>0.00%</c:formatCode>
                <c:ptCount val="3"/>
                <c:pt idx="0">
                  <c:v>0.948093044456073</c:v>
                </c:pt>
                <c:pt idx="1">
                  <c:v>0.0519061399409294</c:v>
                </c:pt>
                <c:pt idx="2">
                  <c:v>8.15602998016803e-7</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a178e97-7454-4c7f-87fe-1113c881dd1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支出决算结构图</a:t>
            </a:r>
            <a:endParaRPr lang="en-US" altLang="zh-CN"/>
          </a:p>
        </c:rich>
      </c:tx>
      <c:layout>
        <c:manualLayout>
          <c:xMode val="edge"/>
          <c:yMode val="edge"/>
          <c:x val="0.342632"/>
          <c:y val="0.0666667"/>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54737"/>
          <c:y val="0.213681"/>
          <c:w val="0.829053"/>
          <c:h val="0.587685"/>
        </c:manualLayout>
      </c:layout>
      <c:pie3DChart>
        <c:varyColors val="1"/>
        <c:ser>
          <c:idx val="0"/>
          <c:order val="0"/>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accent2"/>
              </a:solidFill>
              <a:ln>
                <a:solidFill>
                  <a:schemeClr val="bg1"/>
                </a:solidFill>
              </a:ln>
              <a:effectLst/>
              <a:scene3d>
                <a:camera prst="orthographicFront"/>
                <a:lightRig rig="threePt" dir="t"/>
              </a:scene3d>
              <a:sp3d contourW="9525"/>
            </c:spPr>
          </c:dPt>
          <c:dLbls>
            <c:dLbl>
              <c:idx val="0"/>
              <c:layout>
                <c:manualLayout>
                  <c:x val="0.0544163"/>
                  <c:y val="-0.33115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3788"/>
                  <c:y val="-0.18256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[2024财务报告分析图表.xlsx]Sheet3!$C$113:$D$113</c:f>
              <c:strCache>
                <c:ptCount val="2"/>
                <c:pt idx="0">
                  <c:v>基本支出</c:v>
                </c:pt>
                <c:pt idx="1">
                  <c:v>项目支出</c:v>
                </c:pt>
              </c:strCache>
            </c:strRef>
          </c:cat>
          <c:val>
            <c:numRef>
              <c:f>[2024财务报告分析图表.xlsx]Sheet3!$C$115:$D$115</c:f>
              <c:numCache>
                <c:formatCode>0.00%</c:formatCode>
                <c:ptCount val="2"/>
                <c:pt idx="0">
                  <c:v>0.558022668909944</c:v>
                </c:pt>
                <c:pt idx="1">
                  <c:v>0.441977331090056</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28c88fa-cddb-4530-bef3-0849f5e1688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财政拨款收入、支出决算总计变动情况图</a:t>
            </a:r>
          </a:p>
        </c:rich>
      </c:tx>
      <c:layout/>
      <c:overlay val="0"/>
      <c:spPr>
        <a:noFill/>
        <a:ln>
          <a:noFill/>
        </a:ln>
        <a:effectLst/>
      </c:spPr>
    </c:title>
    <c:autoTitleDeleted val="0"/>
    <c:plotArea>
      <c:layout/>
      <c:barChart>
        <c:barDir val="col"/>
        <c:grouping val="clustered"/>
        <c:varyColors val="0"/>
        <c:ser>
          <c:idx val="0"/>
          <c:order val="0"/>
          <c:tx>
            <c:strRef>
              <c:f>[2024财务报告分析图表.xlsx]Sheet3!$C$133</c:f>
              <c:strCache>
                <c:ptCount val="1"/>
                <c:pt idx="0">
                  <c:v>财政拨款收入、支出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[2024财务报告分析图表.xlsx]Sheet3!$B$134:$B$135</c:f>
              <c:strCache>
                <c:ptCount val="2"/>
                <c:pt idx="0">
                  <c:v>2023年</c:v>
                </c:pt>
                <c:pt idx="1">
                  <c:v>2024年</c:v>
                </c:pt>
              </c:strCache>
            </c:strRef>
          </c:cat>
          <c:val>
            <c:numRef>
              <c:f>[2024财务报告分析图表.xlsx]Sheet3!$C$134:$C$135</c:f>
              <c:numCache>
                <c:formatCode>General</c:formatCode>
                <c:ptCount val="2"/>
                <c:pt idx="0">
                  <c:v>6725.48</c:v>
                </c:pt>
                <c:pt idx="1">
                  <c:v>8137.11</c:v>
                </c:pt>
              </c:numCache>
            </c:numRef>
          </c:val>
        </c:ser>
        <c:dLbls>
          <c:showLegendKey val="0"/>
          <c:showVal val="1"/>
          <c:showCatName val="0"/>
          <c:showSerName val="0"/>
          <c:showPercent val="0"/>
          <c:showBubbleSize val="0"/>
        </c:dLbls>
        <c:gapWidth val="246"/>
        <c:overlap val="-28"/>
        <c:axId val="661931870"/>
        <c:axId val="276504723"/>
      </c:barChart>
      <c:catAx>
        <c:axId val="6619318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504723"/>
        <c:crosses val="autoZero"/>
        <c:auto val="1"/>
        <c:lblAlgn val="ctr"/>
        <c:lblOffset val="100"/>
        <c:noMultiLvlLbl val="0"/>
      </c:catAx>
      <c:valAx>
        <c:axId val="27650472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19318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3d47490-e981-42af-87a6-0bb697c845b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一般公共预算财政拨款支出决算啊变动情况</a:t>
            </a:r>
          </a:p>
        </c:rich>
      </c:tx>
      <c:layout>
        <c:manualLayout>
          <c:xMode val="edge"/>
          <c:yMode val="edge"/>
          <c:x val="0.140132"/>
          <c:y val="0.0376307"/>
        </c:manualLayout>
      </c:layout>
      <c:overlay val="0"/>
      <c:spPr>
        <a:noFill/>
        <a:ln>
          <a:noFill/>
        </a:ln>
        <a:effectLst/>
      </c:spPr>
    </c:title>
    <c:autoTitleDeleted val="0"/>
    <c:plotArea>
      <c:layout/>
      <c:barChart>
        <c:barDir val="col"/>
        <c:grouping val="clustered"/>
        <c:varyColors val="0"/>
        <c:ser>
          <c:idx val="0"/>
          <c:order val="0"/>
          <c:tx>
            <c:strRef>
              <c:f>[2024财务报告分析图表.xlsx]Sheet3!$C$133</c:f>
              <c:strCache>
                <c:ptCount val="1"/>
                <c:pt idx="0">
                  <c:v>财政拨款收入、支出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[2024财务报告分析图表.xlsx]Sheet3!$B$134:$B$135</c:f>
              <c:strCache>
                <c:ptCount val="2"/>
                <c:pt idx="0">
                  <c:v>2023年</c:v>
                </c:pt>
                <c:pt idx="1">
                  <c:v>2024年</c:v>
                </c:pt>
              </c:strCache>
            </c:strRef>
          </c:cat>
          <c:val>
            <c:numRef>
              <c:f>[2024财务报告分析图表.xlsx]Sheet3!$C$134:$C$135</c:f>
              <c:numCache>
                <c:formatCode>General</c:formatCode>
                <c:ptCount val="2"/>
                <c:pt idx="0">
                  <c:v>6725.48</c:v>
                </c:pt>
                <c:pt idx="1">
                  <c:v>8137.11</c:v>
                </c:pt>
              </c:numCache>
            </c:numRef>
          </c:val>
        </c:ser>
        <c:dLbls>
          <c:showLegendKey val="0"/>
          <c:showVal val="1"/>
          <c:showCatName val="0"/>
          <c:showSerName val="0"/>
          <c:showPercent val="0"/>
          <c:showBubbleSize val="0"/>
        </c:dLbls>
        <c:gapWidth val="246"/>
        <c:overlap val="-28"/>
        <c:axId val="661931870"/>
        <c:axId val="276504723"/>
      </c:barChart>
      <c:catAx>
        <c:axId val="6619318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504723"/>
        <c:crosses val="autoZero"/>
        <c:auto val="1"/>
        <c:lblAlgn val="ctr"/>
        <c:lblOffset val="100"/>
        <c:noMultiLvlLbl val="0"/>
      </c:catAx>
      <c:valAx>
        <c:axId val="27650472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19318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47a1643-e97e-4d93-a1d1-bbd9d3c7053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一般公共预算财政拨款支出决算结构</a:t>
            </a:r>
            <a:endParaRPr lang="en-US" altLang="zh-CN"/>
          </a:p>
        </c:rich>
      </c:tx>
      <c:layout>
        <c:manualLayout>
          <c:xMode val="edge"/>
          <c:yMode val="edge"/>
          <c:x val="0.172105"/>
          <c:y val="0.0388889"/>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accent2"/>
              </a:solidFill>
              <a:ln>
                <a:solidFill>
                  <a:schemeClr val="bg1"/>
                </a:solidFill>
              </a:ln>
              <a:effectLst/>
              <a:scene3d>
                <a:camera prst="orthographicFront"/>
                <a:lightRig rig="threePt" dir="t"/>
              </a:scene3d>
              <a:sp3d contourW="9525"/>
            </c:spPr>
          </c:dPt>
          <c:dPt>
            <c:idx val="2"/>
            <c:bubble3D val="0"/>
            <c:spPr>
              <a:solidFill>
                <a:schemeClr val="accent3"/>
              </a:solidFill>
              <a:ln>
                <a:solidFill>
                  <a:schemeClr val="bg1"/>
                </a:solidFill>
              </a:ln>
              <a:effectLst/>
              <a:scene3d>
                <a:camera prst="orthographicFront"/>
                <a:lightRig rig="threePt" dir="t"/>
              </a:scene3d>
              <a:sp3d contourW="9525"/>
            </c:spPr>
          </c:dPt>
          <c:dPt>
            <c:idx val="3"/>
            <c:bubble3D val="0"/>
            <c:spPr>
              <a:solidFill>
                <a:schemeClr val="accent4"/>
              </a:solidFill>
              <a:ln>
                <a:solidFill>
                  <a:schemeClr val="bg1"/>
                </a:solidFill>
              </a:ln>
              <a:effectLst/>
              <a:scene3d>
                <a:camera prst="orthographicFront"/>
                <a:lightRig rig="threePt" dir="t"/>
              </a:scene3d>
              <a:sp3d contourW="9525"/>
            </c:spPr>
          </c:dPt>
          <c:dLbls>
            <c:dLbl>
              <c:idx val="0"/>
              <c:layout>
                <c:manualLayout>
                  <c:x val="0.215671"/>
                  <c:y val="-0.25174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67368"/>
                  <c:y val="0.030555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1579"/>
                  <c:y val="-0.061111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1053"/>
                  <c:y val="-0.0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[2024财务报告分析图表.xlsx]Sheet3!$D$154:$G$154</c:f>
              <c:strCache>
                <c:ptCount val="4"/>
                <c:pt idx="0">
                  <c:v>教育支出</c:v>
                </c:pt>
                <c:pt idx="1">
                  <c:v>社会保障和就业支出</c:v>
                </c:pt>
                <c:pt idx="2">
                  <c:v>卫生健康支出</c:v>
                </c:pt>
                <c:pt idx="3">
                  <c:v>住房保障支出</c:v>
                </c:pt>
              </c:strCache>
            </c:strRef>
          </c:cat>
          <c:val>
            <c:numRef>
              <c:f>[2024财务报告分析图表.xlsx]Sheet3!$D$156:$G$156</c:f>
              <c:numCache>
                <c:formatCode>0.00%</c:formatCode>
                <c:ptCount val="4"/>
                <c:pt idx="0">
                  <c:v>0.8664</c:v>
                </c:pt>
                <c:pt idx="1">
                  <c:v>0.0680683928323447</c:v>
                </c:pt>
                <c:pt idx="2">
                  <c:v>0.0252731006462983</c:v>
                </c:pt>
                <c:pt idx="3">
                  <c:v>0.0401825709619263</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3b22c06-5ce1-4a35-8b1a-9c4be5f0914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88</Pages>
  <Words>582</Words>
  <Characters>614</Characters>
  <TotalTime>491</TotalTime>
  <ScaleCrop>false</ScaleCrop>
  <LinksUpToDate>false</LinksUpToDate>
  <CharactersWithSpaces>879</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2025-08-17T15:44:00Z</dcterms:created>
  <dc:creator>28053</dc:creator>
  <cp:lastModifiedBy>独狼</cp:lastModifiedBy>
  <cp:lastPrinted>2025-08-18T03:24:53Z</cp:lastPrinted>
  <dcterms:modified xsi:type="dcterms:W3CDTF">2025-08-18T09:22:33Z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eyJoZGlkIjoiNjNhMWZkYWU2NTYwNDE5OGRhMzk4OGJmMjM0OGVlMmEiLCJ1c2VySWQiOiI5MzkzMDM3MTUifQ==</vt:lpwstr>
  </property>
  <property fmtid="{D5CDD505-2E9C-101B-9397-08002B2CF9AE}" pid="3" name="KSOProductBuildVer">
    <vt:lpwstr>2052-12.1.0.21915</vt:lpwstr>
  </property>
  <property fmtid="{D5CDD505-2E9C-101B-9397-08002B2CF9AE}" pid="4" name="ICV">
    <vt:lpwstr>5AD48F8BD4704BFD880E87C9D04D6A67_13</vt:lpwstr>
  </property>
</Properties>
</file>